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9E05D" w14:textId="6F277261" w:rsidR="007F3922" w:rsidRDefault="00F96C3A" w:rsidP="007F3922">
      <w:pPr>
        <w:pStyle w:val="Zkladntext"/>
        <w:jc w:val="center"/>
        <w:rPr>
          <w:sz w:val="30"/>
          <w:u w:val="single"/>
        </w:rPr>
      </w:pPr>
      <w:r w:rsidRPr="007F3922">
        <w:rPr>
          <w:sz w:val="30"/>
          <w:u w:val="single"/>
        </w:rPr>
        <w:t>P</w:t>
      </w:r>
      <w:r w:rsidR="006A4D14" w:rsidRPr="007F3922">
        <w:rPr>
          <w:sz w:val="30"/>
          <w:u w:val="single"/>
        </w:rPr>
        <w:t>růvodní informace k </w:t>
      </w:r>
      <w:r w:rsidRPr="007F3922">
        <w:rPr>
          <w:sz w:val="30"/>
          <w:u w:val="single"/>
        </w:rPr>
        <w:t>d</w:t>
      </w:r>
      <w:r w:rsidR="006A6C39" w:rsidRPr="007F3922">
        <w:rPr>
          <w:sz w:val="30"/>
          <w:u w:val="single"/>
        </w:rPr>
        <w:t>okument</w:t>
      </w:r>
      <w:r w:rsidR="003C7EEE" w:rsidRPr="007F3922">
        <w:rPr>
          <w:sz w:val="30"/>
          <w:u w:val="single"/>
        </w:rPr>
        <w:t>ů</w:t>
      </w:r>
      <w:r w:rsidR="006A4D14" w:rsidRPr="007F3922">
        <w:rPr>
          <w:sz w:val="30"/>
          <w:u w:val="single"/>
        </w:rPr>
        <w:t>m</w:t>
      </w:r>
      <w:r w:rsidR="006A6C39" w:rsidRPr="007F3922">
        <w:rPr>
          <w:sz w:val="30"/>
          <w:u w:val="single"/>
        </w:rPr>
        <w:t xml:space="preserve"> pro mobilitu účastníků </w:t>
      </w:r>
    </w:p>
    <w:p w14:paraId="4C5A6B94" w14:textId="39A07373" w:rsidR="006A6C39" w:rsidRPr="007F3922" w:rsidRDefault="006A6C39" w:rsidP="007F3922">
      <w:pPr>
        <w:pStyle w:val="Zkladntext"/>
        <w:jc w:val="center"/>
        <w:rPr>
          <w:sz w:val="30"/>
          <w:u w:val="single"/>
        </w:rPr>
      </w:pPr>
      <w:r w:rsidRPr="007F3922">
        <w:rPr>
          <w:sz w:val="30"/>
          <w:u w:val="single"/>
        </w:rPr>
        <w:t>v odborném vzdělávání a přípravě</w:t>
      </w:r>
    </w:p>
    <w:p w14:paraId="091AD7E8" w14:textId="430B8B35" w:rsidR="007B729F" w:rsidRPr="007161B8" w:rsidRDefault="007B729F" w:rsidP="00A22ADC">
      <w:pPr>
        <w:pStyle w:val="Zkladntext"/>
        <w:shd w:val="clear" w:color="auto" w:fill="FDE9D9" w:themeFill="accent6" w:themeFillTint="33"/>
        <w:spacing w:before="259"/>
        <w:ind w:left="2836" w:firstLine="44"/>
        <w:jc w:val="both"/>
        <w:rPr>
          <w:i/>
          <w:iCs/>
        </w:rPr>
      </w:pPr>
      <w:r w:rsidRPr="007161B8">
        <w:rPr>
          <w:i/>
          <w:iCs/>
        </w:rPr>
        <w:t xml:space="preserve">verze </w:t>
      </w:r>
      <w:r w:rsidR="005D461D">
        <w:rPr>
          <w:i/>
          <w:iCs/>
        </w:rPr>
        <w:t>červen</w:t>
      </w:r>
      <w:r w:rsidRPr="007161B8">
        <w:rPr>
          <w:i/>
          <w:iCs/>
        </w:rPr>
        <w:t xml:space="preserve"> 202</w:t>
      </w:r>
      <w:r w:rsidR="00301425">
        <w:rPr>
          <w:i/>
          <w:iCs/>
        </w:rPr>
        <w:t>5</w:t>
      </w:r>
      <w:r w:rsidRPr="007161B8">
        <w:rPr>
          <w:i/>
          <w:iCs/>
        </w:rPr>
        <w:t xml:space="preserve">, </w:t>
      </w:r>
      <w:r w:rsidRPr="00A22ADC">
        <w:rPr>
          <w:b/>
          <w:bCs/>
          <w:i/>
          <w:iCs/>
        </w:rPr>
        <w:t>platí pro projekty z výzvy 202</w:t>
      </w:r>
      <w:r w:rsidR="00F65489">
        <w:rPr>
          <w:b/>
          <w:bCs/>
          <w:i/>
          <w:iCs/>
        </w:rPr>
        <w:t>5</w:t>
      </w:r>
      <w:r w:rsidR="001A67A7" w:rsidRPr="00A22ADC">
        <w:rPr>
          <w:b/>
          <w:bCs/>
          <w:i/>
          <w:iCs/>
        </w:rPr>
        <w:t xml:space="preserve"> (KA121 i KA122)</w:t>
      </w:r>
      <w:r w:rsidR="00F343B4">
        <w:rPr>
          <w:i/>
          <w:iCs/>
        </w:rPr>
        <w:t xml:space="preserve">            </w:t>
      </w:r>
    </w:p>
    <w:p w14:paraId="2F14FCA0" w14:textId="77777777" w:rsidR="00494EAC" w:rsidRDefault="00494EAC" w:rsidP="00D21792">
      <w:pPr>
        <w:pStyle w:val="Zkladntext"/>
        <w:spacing w:before="21"/>
      </w:pPr>
    </w:p>
    <w:p w14:paraId="300E7A51" w14:textId="0D090BC3" w:rsidR="00D21792" w:rsidRDefault="00D21792" w:rsidP="00D21792">
      <w:pPr>
        <w:pStyle w:val="Zkladntext"/>
        <w:spacing w:before="21"/>
      </w:pPr>
      <w:r>
        <w:t>Následující tabulka slouží jako rychlý přehled toho, které dokumenty využít podle typu aktivity:</w:t>
      </w:r>
    </w:p>
    <w:tbl>
      <w:tblPr>
        <w:tblStyle w:val="TableNormal1"/>
        <w:tblpPr w:leftFromText="141" w:rightFromText="141" w:vertAnchor="text" w:horzAnchor="page" w:tblpXSpec="center" w:tblpY="430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3"/>
        <w:gridCol w:w="1985"/>
        <w:gridCol w:w="2126"/>
        <w:gridCol w:w="1844"/>
        <w:gridCol w:w="1985"/>
      </w:tblGrid>
      <w:tr w:rsidR="00D21792" w14:paraId="2239B44F" w14:textId="77777777" w:rsidTr="006E06E7">
        <w:trPr>
          <w:trHeight w:val="815"/>
          <w:jc w:val="center"/>
        </w:trPr>
        <w:tc>
          <w:tcPr>
            <w:tcW w:w="2263" w:type="dxa"/>
            <w:shd w:val="clear" w:color="auto" w:fill="ACB8C9"/>
            <w:vAlign w:val="center"/>
          </w:tcPr>
          <w:p w14:paraId="30BA56F1" w14:textId="3C50DC50" w:rsidR="00D21792" w:rsidRPr="006E06E7" w:rsidRDefault="00D21792" w:rsidP="00F4074B">
            <w:pPr>
              <w:pStyle w:val="TableParagraph"/>
              <w:ind w:left="284" w:right="274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Akti</w:t>
            </w:r>
            <w:r w:rsidR="00415230" w:rsidRPr="006E06E7">
              <w:rPr>
                <w:b/>
                <w:bCs/>
                <w:sz w:val="18"/>
              </w:rPr>
              <w:t>vi</w:t>
            </w:r>
            <w:r w:rsidRPr="006E06E7">
              <w:rPr>
                <w:b/>
                <w:bCs/>
                <w:sz w:val="18"/>
              </w:rPr>
              <w:t>ty</w:t>
            </w:r>
          </w:p>
        </w:tc>
        <w:tc>
          <w:tcPr>
            <w:tcW w:w="1985" w:type="dxa"/>
            <w:shd w:val="clear" w:color="auto" w:fill="ACB8C9"/>
            <w:vAlign w:val="center"/>
          </w:tcPr>
          <w:p w14:paraId="77A63948" w14:textId="77777777" w:rsidR="00D21792" w:rsidRPr="00BC575C" w:rsidRDefault="00D21792" w:rsidP="007A493A">
            <w:pPr>
              <w:pStyle w:val="TableParagraph"/>
              <w:spacing w:before="162"/>
              <w:ind w:left="0" w:right="-8"/>
              <w:rPr>
                <w:b/>
                <w:bCs/>
                <w:sz w:val="18"/>
              </w:rPr>
            </w:pPr>
            <w:r w:rsidRPr="00BC575C">
              <w:rPr>
                <w:b/>
                <w:bCs/>
                <w:sz w:val="18"/>
              </w:rPr>
              <w:t>Účastnická smlouva – před mobilitou</w:t>
            </w:r>
          </w:p>
        </w:tc>
        <w:tc>
          <w:tcPr>
            <w:tcW w:w="2126" w:type="dxa"/>
            <w:shd w:val="clear" w:color="auto" w:fill="ACB8C9"/>
            <w:vAlign w:val="center"/>
          </w:tcPr>
          <w:p w14:paraId="3EF08847" w14:textId="77777777" w:rsidR="00D21792" w:rsidRPr="00BC575C" w:rsidRDefault="00D21792" w:rsidP="00164501">
            <w:pPr>
              <w:pStyle w:val="TableParagraph"/>
              <w:spacing w:before="162"/>
              <w:ind w:left="0" w:right="-5" w:hanging="4"/>
              <w:rPr>
                <w:b/>
                <w:bCs/>
                <w:sz w:val="18"/>
              </w:rPr>
            </w:pPr>
            <w:r w:rsidRPr="00BC575C">
              <w:rPr>
                <w:b/>
                <w:bCs/>
                <w:sz w:val="18"/>
              </w:rPr>
              <w:t xml:space="preserve">Smlouva o učení (Learning </w:t>
            </w:r>
            <w:proofErr w:type="spellStart"/>
            <w:r w:rsidRPr="00BC575C">
              <w:rPr>
                <w:b/>
                <w:bCs/>
                <w:sz w:val="18"/>
              </w:rPr>
              <w:t>agreement</w:t>
            </w:r>
            <w:proofErr w:type="spellEnd"/>
            <w:r w:rsidRPr="00BC575C">
              <w:rPr>
                <w:b/>
                <w:bCs/>
                <w:sz w:val="18"/>
              </w:rPr>
              <w:t>) – před mobilitou</w:t>
            </w:r>
          </w:p>
        </w:tc>
        <w:tc>
          <w:tcPr>
            <w:tcW w:w="1844" w:type="dxa"/>
            <w:shd w:val="clear" w:color="auto" w:fill="ACB8C9"/>
            <w:vAlign w:val="center"/>
          </w:tcPr>
          <w:p w14:paraId="2CA8CEDB" w14:textId="1A6A1875" w:rsidR="00D21792" w:rsidRPr="00BC575C" w:rsidRDefault="00D21792" w:rsidP="00826E03">
            <w:pPr>
              <w:pStyle w:val="TableParagraph"/>
              <w:spacing w:before="162"/>
              <w:ind w:left="5" w:right="67" w:hanging="8"/>
              <w:rPr>
                <w:b/>
                <w:bCs/>
                <w:sz w:val="18"/>
              </w:rPr>
            </w:pPr>
            <w:r w:rsidRPr="00BC575C">
              <w:rPr>
                <w:b/>
                <w:bCs/>
                <w:sz w:val="18"/>
              </w:rPr>
              <w:t>Potvrzení o účasti</w:t>
            </w:r>
            <w:r w:rsidR="00415230" w:rsidRPr="00BC575C">
              <w:rPr>
                <w:b/>
                <w:bCs/>
                <w:sz w:val="18"/>
              </w:rPr>
              <w:t xml:space="preserve"> </w:t>
            </w:r>
            <w:r w:rsidRPr="00BC575C">
              <w:rPr>
                <w:b/>
                <w:bCs/>
                <w:sz w:val="18"/>
              </w:rPr>
              <w:t>na mobilitě</w:t>
            </w:r>
          </w:p>
        </w:tc>
        <w:tc>
          <w:tcPr>
            <w:tcW w:w="1985" w:type="dxa"/>
            <w:shd w:val="clear" w:color="auto" w:fill="ACB8C9"/>
            <w:vAlign w:val="center"/>
          </w:tcPr>
          <w:p w14:paraId="631470D6" w14:textId="1CE4933D" w:rsidR="00D21792" w:rsidRPr="00BC575C" w:rsidRDefault="00D21792" w:rsidP="00F4074B">
            <w:pPr>
              <w:pStyle w:val="TableParagraph"/>
              <w:spacing w:before="162" w:line="245" w:lineRule="exact"/>
              <w:ind w:left="78" w:right="66"/>
              <w:rPr>
                <w:b/>
                <w:bCs/>
                <w:sz w:val="18"/>
              </w:rPr>
            </w:pPr>
            <w:r w:rsidRPr="00BC575C">
              <w:rPr>
                <w:b/>
                <w:bCs/>
                <w:sz w:val="18"/>
              </w:rPr>
              <w:t xml:space="preserve">Zpráva účastníka (EU </w:t>
            </w:r>
            <w:proofErr w:type="spellStart"/>
            <w:r w:rsidRPr="00BC575C">
              <w:rPr>
                <w:b/>
                <w:bCs/>
                <w:sz w:val="18"/>
              </w:rPr>
              <w:t>Survey</w:t>
            </w:r>
            <w:proofErr w:type="spellEnd"/>
            <w:r w:rsidRPr="00BC575C">
              <w:rPr>
                <w:b/>
                <w:bCs/>
                <w:sz w:val="18"/>
              </w:rPr>
              <w:t>) - po mobilitě</w:t>
            </w:r>
          </w:p>
        </w:tc>
      </w:tr>
      <w:tr w:rsidR="00D21792" w14:paraId="0B07DCB7" w14:textId="77777777" w:rsidTr="006E06E7">
        <w:trPr>
          <w:trHeight w:val="489"/>
          <w:jc w:val="center"/>
        </w:trPr>
        <w:tc>
          <w:tcPr>
            <w:tcW w:w="2263" w:type="dxa"/>
            <w:shd w:val="clear" w:color="auto" w:fill="FDE9D9" w:themeFill="accent6" w:themeFillTint="33"/>
            <w:vAlign w:val="center"/>
          </w:tcPr>
          <w:p w14:paraId="1AC70A20" w14:textId="04A27960" w:rsidR="00D21792" w:rsidRPr="006E06E7" w:rsidRDefault="00D21792" w:rsidP="00F4074B">
            <w:pPr>
              <w:pStyle w:val="TableParagraph"/>
              <w:spacing w:before="122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Stínování na pracovišti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60DC35C7" w14:textId="77777777" w:rsidR="00D21792" w:rsidRDefault="00D21792" w:rsidP="007A493A">
            <w:pPr>
              <w:pStyle w:val="TableParagraph"/>
              <w:spacing w:before="122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CCCC"/>
            <w:vAlign w:val="center"/>
          </w:tcPr>
          <w:p w14:paraId="7B08106C" w14:textId="77777777" w:rsidR="00D21792" w:rsidRDefault="00D21792" w:rsidP="00164501">
            <w:pPr>
              <w:pStyle w:val="TableParagraph"/>
              <w:spacing w:before="122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7F6AE61B" w14:textId="14EC4699" w:rsidR="00D21792" w:rsidRDefault="007B4E48" w:rsidP="00826E03">
            <w:pPr>
              <w:pStyle w:val="TableParagraph"/>
              <w:spacing w:line="244" w:lineRule="exact"/>
              <w:ind w:left="5" w:right="87" w:hanging="8"/>
              <w:rPr>
                <w:sz w:val="18"/>
              </w:rPr>
            </w:pPr>
            <w:r>
              <w:rPr>
                <w:sz w:val="18"/>
              </w:rPr>
              <w:t>Potvrzení ke smlouvě o učení / Europass Mobilita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430AA926" w14:textId="77777777" w:rsidR="00D21792" w:rsidRDefault="00D21792" w:rsidP="00F4074B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D21792" w14:paraId="5148EF46" w14:textId="77777777" w:rsidTr="006E06E7">
        <w:trPr>
          <w:trHeight w:val="489"/>
          <w:jc w:val="center"/>
        </w:trPr>
        <w:tc>
          <w:tcPr>
            <w:tcW w:w="2263" w:type="dxa"/>
            <w:shd w:val="clear" w:color="auto" w:fill="FDE9D9" w:themeFill="accent6" w:themeFillTint="33"/>
            <w:vAlign w:val="center"/>
          </w:tcPr>
          <w:p w14:paraId="47AB1E04" w14:textId="2834C3FC" w:rsidR="00D21792" w:rsidRPr="006E06E7" w:rsidRDefault="00D21792" w:rsidP="00F4074B">
            <w:pPr>
              <w:pStyle w:val="TableParagraph"/>
              <w:spacing w:before="122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Výukové pobyty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0AAB4883" w14:textId="77777777" w:rsidR="00D21792" w:rsidRDefault="00D21792" w:rsidP="007A493A">
            <w:pPr>
              <w:pStyle w:val="TableParagraph"/>
              <w:spacing w:before="122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CCCC"/>
            <w:vAlign w:val="center"/>
          </w:tcPr>
          <w:p w14:paraId="680980E3" w14:textId="77777777" w:rsidR="00D21792" w:rsidRDefault="00D21792" w:rsidP="00164501">
            <w:pPr>
              <w:pStyle w:val="TableParagraph"/>
              <w:spacing w:before="122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4FA26040" w14:textId="6953CDD2" w:rsidR="00D21792" w:rsidRDefault="007B4E48" w:rsidP="00826E03">
            <w:pPr>
              <w:pStyle w:val="TableParagraph"/>
              <w:spacing w:line="225" w:lineRule="exact"/>
              <w:ind w:left="5" w:right="84" w:hanging="8"/>
              <w:rPr>
                <w:sz w:val="18"/>
              </w:rPr>
            </w:pPr>
            <w:r>
              <w:rPr>
                <w:sz w:val="18"/>
              </w:rPr>
              <w:t>Potvrzení ke smlouvě o učení / Europass Mobilita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235364A6" w14:textId="77777777" w:rsidR="00D21792" w:rsidRDefault="00D21792" w:rsidP="00F4074B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D21792" w14:paraId="3A938A6D" w14:textId="77777777" w:rsidTr="006E06E7">
        <w:trPr>
          <w:trHeight w:val="491"/>
          <w:jc w:val="center"/>
        </w:trPr>
        <w:tc>
          <w:tcPr>
            <w:tcW w:w="2263" w:type="dxa"/>
            <w:shd w:val="clear" w:color="auto" w:fill="FDE9D9" w:themeFill="accent6" w:themeFillTint="33"/>
            <w:vAlign w:val="center"/>
          </w:tcPr>
          <w:p w14:paraId="76102864" w14:textId="464F52A6" w:rsidR="00D21792" w:rsidRPr="006E06E7" w:rsidRDefault="00D21792" w:rsidP="00F4074B">
            <w:pPr>
              <w:pStyle w:val="TableParagraph"/>
              <w:spacing w:before="124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Kurzy a odborná školení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64EA8DF8" w14:textId="77777777" w:rsidR="00D21792" w:rsidRDefault="00D21792" w:rsidP="007A493A">
            <w:pPr>
              <w:pStyle w:val="TableParagraph"/>
              <w:spacing w:before="124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FFCC"/>
            <w:vAlign w:val="center"/>
          </w:tcPr>
          <w:p w14:paraId="155556DC" w14:textId="6CAEC795" w:rsidR="00D21792" w:rsidRDefault="00D21792" w:rsidP="00164501">
            <w:pPr>
              <w:pStyle w:val="TableParagraph"/>
              <w:spacing w:before="124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Volitelná</w:t>
            </w:r>
            <w:r w:rsidR="00332216" w:rsidRPr="00DD3AD9">
              <w:rPr>
                <w:b/>
                <w:bCs/>
                <w:szCs w:val="28"/>
                <w:vertAlign w:val="superscript"/>
              </w:rPr>
              <w:t>1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05F201C1" w14:textId="663C573A" w:rsidR="00D21792" w:rsidRDefault="00D21792" w:rsidP="00826E03">
            <w:pPr>
              <w:pStyle w:val="TableParagraph"/>
              <w:spacing w:line="225" w:lineRule="exact"/>
              <w:ind w:left="5" w:right="84" w:hanging="8"/>
              <w:rPr>
                <w:sz w:val="18"/>
              </w:rPr>
            </w:pPr>
            <w:r>
              <w:rPr>
                <w:sz w:val="18"/>
              </w:rPr>
              <w:t>Potvrzen</w:t>
            </w:r>
            <w:r w:rsidRPr="008E0FDD">
              <w:rPr>
                <w:szCs w:val="28"/>
              </w:rPr>
              <w:t>í</w:t>
            </w:r>
            <w:r w:rsidR="00332216" w:rsidRPr="008E0FDD">
              <w:rPr>
                <w:b/>
                <w:bCs/>
                <w:szCs w:val="28"/>
                <w:vertAlign w:val="superscript"/>
              </w:rPr>
              <w:t>1</w:t>
            </w:r>
            <w:r w:rsidRPr="008E0FDD">
              <w:rPr>
                <w:szCs w:val="28"/>
              </w:rPr>
              <w:t xml:space="preserve"> </w:t>
            </w:r>
            <w:r>
              <w:rPr>
                <w:sz w:val="18"/>
              </w:rPr>
              <w:t>/ Europass Mobilita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3039F5B2" w14:textId="77777777" w:rsidR="00D21792" w:rsidRDefault="00D21792" w:rsidP="00F4074B">
            <w:pPr>
              <w:pStyle w:val="TableParagraph"/>
              <w:spacing w:before="124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D21792" w14:paraId="644B45C5" w14:textId="77777777" w:rsidTr="006E06E7">
        <w:trPr>
          <w:trHeight w:val="489"/>
          <w:jc w:val="center"/>
        </w:trPr>
        <w:tc>
          <w:tcPr>
            <w:tcW w:w="2263" w:type="dxa"/>
            <w:shd w:val="clear" w:color="auto" w:fill="FBD4B4" w:themeFill="accent6" w:themeFillTint="66"/>
            <w:vAlign w:val="center"/>
          </w:tcPr>
          <w:p w14:paraId="29AD4FE6" w14:textId="6C227F1F" w:rsidR="00D21792" w:rsidRPr="006E06E7" w:rsidRDefault="00D21792" w:rsidP="00F4074B">
            <w:pPr>
              <w:pStyle w:val="TableParagraph"/>
              <w:spacing w:line="245" w:lineRule="exact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Krátkodobá vzdělávací mobilita</w:t>
            </w:r>
            <w:r w:rsidR="00F4074B" w:rsidRPr="006E06E7">
              <w:rPr>
                <w:b/>
                <w:bCs/>
                <w:sz w:val="18"/>
              </w:rPr>
              <w:t xml:space="preserve"> ž</w:t>
            </w:r>
            <w:r w:rsidRPr="006E06E7">
              <w:rPr>
                <w:b/>
                <w:bCs/>
                <w:sz w:val="18"/>
              </w:rPr>
              <w:t>áků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78DEE106" w14:textId="77777777" w:rsidR="00D21792" w:rsidRDefault="00D21792" w:rsidP="007A493A">
            <w:pPr>
              <w:pStyle w:val="TableParagraph"/>
              <w:spacing w:before="122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CCCC"/>
            <w:vAlign w:val="center"/>
          </w:tcPr>
          <w:p w14:paraId="196BA568" w14:textId="77777777" w:rsidR="00D21792" w:rsidRDefault="00D21792" w:rsidP="00164501">
            <w:pPr>
              <w:pStyle w:val="TableParagraph"/>
              <w:spacing w:before="122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51B554EE" w14:textId="77777777" w:rsidR="00D21792" w:rsidRDefault="00D21792" w:rsidP="00826E03">
            <w:pPr>
              <w:pStyle w:val="TableParagraph"/>
              <w:spacing w:line="225" w:lineRule="exact"/>
              <w:ind w:left="5" w:right="84" w:hanging="8"/>
              <w:rPr>
                <w:sz w:val="18"/>
              </w:rPr>
            </w:pPr>
            <w:r>
              <w:rPr>
                <w:sz w:val="18"/>
              </w:rPr>
              <w:t>Potvrzení ke smlouvě o učení / Europass Mobilita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3488199C" w14:textId="77777777" w:rsidR="00D21792" w:rsidRDefault="00D21792" w:rsidP="00F4074B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D21792" w14:paraId="70315025" w14:textId="77777777" w:rsidTr="006E06E7">
        <w:trPr>
          <w:trHeight w:val="491"/>
          <w:jc w:val="center"/>
        </w:trPr>
        <w:tc>
          <w:tcPr>
            <w:tcW w:w="2263" w:type="dxa"/>
            <w:shd w:val="clear" w:color="auto" w:fill="FBD4B4" w:themeFill="accent6" w:themeFillTint="66"/>
            <w:vAlign w:val="center"/>
          </w:tcPr>
          <w:p w14:paraId="10A4EBF2" w14:textId="0273B9C8" w:rsidR="00D21792" w:rsidRPr="006E06E7" w:rsidRDefault="00D21792" w:rsidP="00F4074B">
            <w:pPr>
              <w:pStyle w:val="TableParagraph"/>
              <w:spacing w:line="245" w:lineRule="exact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Dlouhodobá vzdělávací mobilita</w:t>
            </w:r>
            <w:r w:rsidR="00F4074B" w:rsidRPr="006E06E7">
              <w:rPr>
                <w:b/>
                <w:bCs/>
                <w:sz w:val="18"/>
              </w:rPr>
              <w:t xml:space="preserve"> ž</w:t>
            </w:r>
            <w:r w:rsidRPr="006E06E7">
              <w:rPr>
                <w:b/>
                <w:bCs/>
                <w:sz w:val="18"/>
              </w:rPr>
              <w:t xml:space="preserve">áků </w:t>
            </w:r>
            <w:proofErr w:type="spellStart"/>
            <w:r w:rsidRPr="006E06E7">
              <w:rPr>
                <w:b/>
                <w:bCs/>
                <w:sz w:val="18"/>
              </w:rPr>
              <w:t>ErasmusPro</w:t>
            </w:r>
            <w:proofErr w:type="spellEnd"/>
          </w:p>
        </w:tc>
        <w:tc>
          <w:tcPr>
            <w:tcW w:w="1985" w:type="dxa"/>
            <w:shd w:val="clear" w:color="auto" w:fill="FFCCCC"/>
            <w:vAlign w:val="center"/>
          </w:tcPr>
          <w:p w14:paraId="21FC66CD" w14:textId="77777777" w:rsidR="00D21792" w:rsidRDefault="00D21792" w:rsidP="007A493A">
            <w:pPr>
              <w:pStyle w:val="TableParagraph"/>
              <w:spacing w:before="124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CCCC"/>
            <w:vAlign w:val="center"/>
          </w:tcPr>
          <w:p w14:paraId="6B008FAD" w14:textId="77777777" w:rsidR="00D21792" w:rsidRDefault="00D21792" w:rsidP="00164501">
            <w:pPr>
              <w:pStyle w:val="TableParagraph"/>
              <w:spacing w:before="124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0F94CB73" w14:textId="77777777" w:rsidR="00D21792" w:rsidRDefault="00D21792" w:rsidP="00826E03">
            <w:pPr>
              <w:pStyle w:val="TableParagraph"/>
              <w:spacing w:before="2" w:line="225" w:lineRule="exact"/>
              <w:ind w:left="5" w:right="84" w:hanging="8"/>
              <w:rPr>
                <w:sz w:val="18"/>
              </w:rPr>
            </w:pPr>
            <w:r>
              <w:rPr>
                <w:sz w:val="18"/>
              </w:rPr>
              <w:t>Potvrzení ke smlouvě o učení / Europass Mobilita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5A4DA7F5" w14:textId="77777777" w:rsidR="00D21792" w:rsidRDefault="00D21792" w:rsidP="00F4074B">
            <w:pPr>
              <w:pStyle w:val="TableParagraph"/>
              <w:spacing w:before="124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D21792" w14:paraId="2A148170" w14:textId="77777777" w:rsidTr="006E06E7">
        <w:trPr>
          <w:trHeight w:val="489"/>
          <w:jc w:val="center"/>
        </w:trPr>
        <w:tc>
          <w:tcPr>
            <w:tcW w:w="2263" w:type="dxa"/>
            <w:shd w:val="clear" w:color="auto" w:fill="FBD4B4" w:themeFill="accent6" w:themeFillTint="66"/>
            <w:vAlign w:val="center"/>
          </w:tcPr>
          <w:p w14:paraId="2EDC9C18" w14:textId="2CAAE854" w:rsidR="00D21792" w:rsidRPr="006E06E7" w:rsidRDefault="00D21792" w:rsidP="00F4074B">
            <w:pPr>
              <w:pStyle w:val="TableParagraph"/>
              <w:spacing w:line="244" w:lineRule="exact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Soutěže odborných dovedností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605D19E9" w14:textId="77777777" w:rsidR="00D21792" w:rsidRDefault="00D21792" w:rsidP="007A493A">
            <w:pPr>
              <w:pStyle w:val="TableParagraph"/>
              <w:spacing w:before="122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EB7EDA3" w14:textId="77777777" w:rsidR="00D21792" w:rsidRDefault="00D21792" w:rsidP="00164501">
            <w:pPr>
              <w:pStyle w:val="TableParagraph"/>
              <w:spacing w:before="122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212478EF" w14:textId="77777777" w:rsidR="00D21792" w:rsidRDefault="00D21792" w:rsidP="00826E03">
            <w:pPr>
              <w:pStyle w:val="TableParagraph"/>
              <w:spacing w:line="244" w:lineRule="exact"/>
              <w:ind w:left="5" w:right="87" w:hanging="8"/>
              <w:rPr>
                <w:sz w:val="18"/>
              </w:rPr>
            </w:pPr>
            <w:r>
              <w:rPr>
                <w:sz w:val="18"/>
              </w:rPr>
              <w:t>Potvrzení o účasti na soutěži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0F401FE6" w14:textId="77777777" w:rsidR="00D21792" w:rsidRDefault="00D21792" w:rsidP="00F4074B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010165" w14:paraId="715EAF1A" w14:textId="77777777" w:rsidTr="006E06E7">
        <w:trPr>
          <w:trHeight w:val="489"/>
          <w:jc w:val="center"/>
        </w:trPr>
        <w:tc>
          <w:tcPr>
            <w:tcW w:w="2263" w:type="dxa"/>
            <w:shd w:val="clear" w:color="auto" w:fill="FBD4B4" w:themeFill="accent6" w:themeFillTint="66"/>
            <w:vAlign w:val="center"/>
          </w:tcPr>
          <w:p w14:paraId="6FB67915" w14:textId="77777777" w:rsidR="00D21792" w:rsidRPr="008B0FA5" w:rsidRDefault="00D21792" w:rsidP="00F4074B">
            <w:pPr>
              <w:pStyle w:val="TableParagraph"/>
              <w:spacing w:line="244" w:lineRule="exact"/>
              <w:ind w:left="69"/>
              <w:rPr>
                <w:b/>
                <w:bCs/>
                <w:sz w:val="18"/>
              </w:rPr>
            </w:pPr>
            <w:r w:rsidRPr="008B0FA5">
              <w:rPr>
                <w:b/>
                <w:bCs/>
                <w:sz w:val="18"/>
              </w:rPr>
              <w:t>Skupinové mobility žáků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464FFAD6" w14:textId="7888A2F0" w:rsidR="00D21792" w:rsidRPr="008B0FA5" w:rsidRDefault="005251BC" w:rsidP="007A493A">
            <w:pPr>
              <w:pStyle w:val="TableParagraph"/>
              <w:spacing w:before="122"/>
              <w:ind w:left="0" w:right="-8"/>
              <w:rPr>
                <w:sz w:val="18"/>
              </w:rPr>
            </w:pPr>
            <w:r w:rsidRPr="008B0FA5"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CCCC"/>
            <w:vAlign w:val="center"/>
          </w:tcPr>
          <w:p w14:paraId="0556C647" w14:textId="68B7583D" w:rsidR="00D21792" w:rsidRPr="008B0FA5" w:rsidRDefault="00D21792" w:rsidP="00164501">
            <w:pPr>
              <w:pStyle w:val="TableParagraph"/>
              <w:spacing w:before="124"/>
              <w:ind w:left="0" w:right="-5" w:hanging="4"/>
              <w:rPr>
                <w:sz w:val="18"/>
              </w:rPr>
            </w:pPr>
            <w:proofErr w:type="gramStart"/>
            <w:r w:rsidRPr="008B0FA5">
              <w:rPr>
                <w:sz w:val="18"/>
              </w:rPr>
              <w:t>Povinná</w:t>
            </w:r>
            <w:r w:rsidR="00F4074B" w:rsidRPr="008B0FA5">
              <w:rPr>
                <w:sz w:val="18"/>
              </w:rPr>
              <w:t xml:space="preserve"> </w:t>
            </w:r>
            <w:r w:rsidRPr="008B0FA5">
              <w:rPr>
                <w:sz w:val="18"/>
              </w:rPr>
              <w:t>- společn</w:t>
            </w:r>
            <w:r w:rsidR="00413B0F" w:rsidRPr="008B0FA5">
              <w:rPr>
                <w:sz w:val="18"/>
              </w:rPr>
              <w:t>ý</w:t>
            </w:r>
            <w:proofErr w:type="gramEnd"/>
            <w:r w:rsidRPr="008B0FA5">
              <w:rPr>
                <w:sz w:val="18"/>
              </w:rPr>
              <w:t xml:space="preserve"> </w:t>
            </w:r>
            <w:r w:rsidR="00D00F55" w:rsidRPr="008B0FA5">
              <w:rPr>
                <w:sz w:val="18"/>
              </w:rPr>
              <w:t>L</w:t>
            </w:r>
            <w:r w:rsidR="00413B0F" w:rsidRPr="008B0FA5">
              <w:rPr>
                <w:sz w:val="18"/>
              </w:rPr>
              <w:t xml:space="preserve">earning </w:t>
            </w:r>
            <w:proofErr w:type="spellStart"/>
            <w:r w:rsidR="00413B0F" w:rsidRPr="008B0FA5">
              <w:rPr>
                <w:sz w:val="18"/>
              </w:rPr>
              <w:t>programme</w:t>
            </w:r>
            <w:proofErr w:type="spellEnd"/>
            <w:r w:rsidR="00413B0F" w:rsidRPr="008B0FA5">
              <w:rPr>
                <w:sz w:val="18"/>
              </w:rPr>
              <w:t xml:space="preserve"> </w:t>
            </w:r>
            <w:proofErr w:type="spellStart"/>
            <w:r w:rsidR="00413B0F" w:rsidRPr="008B0FA5">
              <w:rPr>
                <w:sz w:val="18"/>
              </w:rPr>
              <w:t>for</w:t>
            </w:r>
            <w:proofErr w:type="spellEnd"/>
            <w:r w:rsidR="00413B0F" w:rsidRPr="008B0FA5">
              <w:rPr>
                <w:sz w:val="18"/>
              </w:rPr>
              <w:t xml:space="preserve"> </w:t>
            </w:r>
            <w:proofErr w:type="spellStart"/>
            <w:r w:rsidR="00413B0F" w:rsidRPr="008B0FA5">
              <w:rPr>
                <w:sz w:val="18"/>
              </w:rPr>
              <w:t>group</w:t>
            </w:r>
            <w:proofErr w:type="spellEnd"/>
            <w:r w:rsidR="00413B0F" w:rsidRPr="008B0FA5">
              <w:rPr>
                <w:sz w:val="18"/>
              </w:rPr>
              <w:t xml:space="preserve"> </w:t>
            </w:r>
            <w:proofErr w:type="spellStart"/>
            <w:r w:rsidR="00413B0F" w:rsidRPr="008B0FA5">
              <w:rPr>
                <w:sz w:val="18"/>
              </w:rPr>
              <w:t>activities</w:t>
            </w:r>
            <w:proofErr w:type="spellEnd"/>
          </w:p>
        </w:tc>
        <w:tc>
          <w:tcPr>
            <w:tcW w:w="1844" w:type="dxa"/>
            <w:shd w:val="clear" w:color="auto" w:fill="FFCCCC"/>
            <w:vAlign w:val="center"/>
          </w:tcPr>
          <w:p w14:paraId="6D013FCC" w14:textId="339F9A9D" w:rsidR="00D21792" w:rsidRPr="008B0FA5" w:rsidRDefault="00F4074B" w:rsidP="00826E03">
            <w:pPr>
              <w:pStyle w:val="TableParagraph"/>
              <w:spacing w:line="244" w:lineRule="exact"/>
              <w:ind w:left="5" w:right="-25" w:hanging="8"/>
              <w:rPr>
                <w:sz w:val="18"/>
              </w:rPr>
            </w:pPr>
            <w:r w:rsidRPr="008B0FA5">
              <w:rPr>
                <w:sz w:val="18"/>
              </w:rPr>
              <w:t>L</w:t>
            </w:r>
            <w:r w:rsidR="00413B0F" w:rsidRPr="008B0FA5">
              <w:rPr>
                <w:sz w:val="18"/>
              </w:rPr>
              <w:t xml:space="preserve">earning </w:t>
            </w:r>
            <w:proofErr w:type="spellStart"/>
            <w:r w:rsidR="00413B0F" w:rsidRPr="008B0FA5">
              <w:rPr>
                <w:sz w:val="18"/>
              </w:rPr>
              <w:t>programme</w:t>
            </w:r>
            <w:proofErr w:type="spellEnd"/>
            <w:r w:rsidR="00413B0F" w:rsidRPr="008B0FA5">
              <w:rPr>
                <w:sz w:val="18"/>
              </w:rPr>
              <w:t xml:space="preserve"> </w:t>
            </w:r>
            <w:proofErr w:type="spellStart"/>
            <w:r w:rsidR="00413B0F" w:rsidRPr="008B0FA5">
              <w:rPr>
                <w:sz w:val="18"/>
              </w:rPr>
              <w:t>for</w:t>
            </w:r>
            <w:proofErr w:type="spellEnd"/>
            <w:r w:rsidR="00413B0F" w:rsidRPr="008B0FA5">
              <w:rPr>
                <w:sz w:val="18"/>
              </w:rPr>
              <w:t xml:space="preserve"> </w:t>
            </w:r>
            <w:proofErr w:type="spellStart"/>
            <w:r w:rsidR="00413B0F" w:rsidRPr="008B0FA5">
              <w:rPr>
                <w:sz w:val="18"/>
              </w:rPr>
              <w:t>group</w:t>
            </w:r>
            <w:proofErr w:type="spellEnd"/>
            <w:r w:rsidR="00413B0F" w:rsidRPr="008B0FA5">
              <w:rPr>
                <w:sz w:val="18"/>
              </w:rPr>
              <w:t xml:space="preserve"> </w:t>
            </w:r>
            <w:proofErr w:type="spellStart"/>
            <w:r w:rsidR="00413B0F" w:rsidRPr="008B0FA5">
              <w:rPr>
                <w:sz w:val="18"/>
              </w:rPr>
              <w:t>activities</w:t>
            </w:r>
            <w:proofErr w:type="spellEnd"/>
            <w:r w:rsidR="00E15989" w:rsidRPr="008B0FA5">
              <w:rPr>
                <w:sz w:val="18"/>
              </w:rPr>
              <w:t xml:space="preserve"> podepsaný po aktivitě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63F9632D" w14:textId="315B1B09" w:rsidR="00D21792" w:rsidRPr="008B0FA5" w:rsidRDefault="00D33744" w:rsidP="00F4074B">
            <w:pPr>
              <w:pStyle w:val="TableParagraph"/>
              <w:spacing w:before="122"/>
              <w:ind w:left="76" w:right="66"/>
              <w:rPr>
                <w:sz w:val="18"/>
              </w:rPr>
            </w:pPr>
            <w:proofErr w:type="gramStart"/>
            <w:r w:rsidRPr="008B0FA5">
              <w:rPr>
                <w:sz w:val="18"/>
              </w:rPr>
              <w:t xml:space="preserve">Povinná - </w:t>
            </w:r>
            <w:r w:rsidR="00D53D9C" w:rsidRPr="008B0FA5">
              <w:rPr>
                <w:sz w:val="18"/>
              </w:rPr>
              <w:t>v</w:t>
            </w:r>
            <w:r w:rsidR="00D21792" w:rsidRPr="008B0FA5">
              <w:rPr>
                <w:sz w:val="18"/>
              </w:rPr>
              <w:t>yplní</w:t>
            </w:r>
            <w:proofErr w:type="gramEnd"/>
            <w:r w:rsidR="00D21792" w:rsidRPr="008B0FA5">
              <w:rPr>
                <w:sz w:val="18"/>
              </w:rPr>
              <w:t xml:space="preserve"> doprovodná osoba</w:t>
            </w:r>
            <w:r w:rsidRPr="008B0FA5">
              <w:rPr>
                <w:sz w:val="18"/>
              </w:rPr>
              <w:t xml:space="preserve"> za celou skupinu</w:t>
            </w:r>
          </w:p>
        </w:tc>
      </w:tr>
      <w:tr w:rsidR="00D21792" w14:paraId="32DB663A" w14:textId="77777777" w:rsidTr="006E06E7">
        <w:trPr>
          <w:trHeight w:val="489"/>
          <w:jc w:val="center"/>
        </w:trPr>
        <w:tc>
          <w:tcPr>
            <w:tcW w:w="2263" w:type="dxa"/>
            <w:vAlign w:val="center"/>
          </w:tcPr>
          <w:p w14:paraId="6EC59EFB" w14:textId="1BC10547" w:rsidR="00D21792" w:rsidRPr="006E06E7" w:rsidRDefault="00D21792" w:rsidP="007A493A">
            <w:pPr>
              <w:pStyle w:val="TableParagraph"/>
              <w:spacing w:line="244" w:lineRule="exact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Hostující studenti a čerství</w:t>
            </w:r>
            <w:r w:rsidR="007A493A" w:rsidRPr="006E06E7">
              <w:rPr>
                <w:b/>
                <w:bCs/>
                <w:sz w:val="18"/>
              </w:rPr>
              <w:t xml:space="preserve"> </w:t>
            </w:r>
            <w:r w:rsidRPr="006E06E7">
              <w:rPr>
                <w:b/>
                <w:bCs/>
                <w:sz w:val="18"/>
              </w:rPr>
              <w:t>absolventi učitelství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2E70FDEB" w14:textId="77777777" w:rsidR="00D21792" w:rsidRDefault="00D21792" w:rsidP="007A493A">
            <w:pPr>
              <w:pStyle w:val="TableParagraph"/>
              <w:spacing w:before="122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FFCCCC"/>
            <w:vAlign w:val="center"/>
          </w:tcPr>
          <w:p w14:paraId="3FC9E83A" w14:textId="6480CF1C" w:rsidR="00D21792" w:rsidRDefault="00D21792" w:rsidP="00164501">
            <w:pPr>
              <w:pStyle w:val="TableParagraph"/>
              <w:spacing w:before="122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Povinná</w:t>
            </w:r>
            <w:r w:rsidR="00332216" w:rsidRPr="008E0FDD">
              <w:rPr>
                <w:b/>
                <w:bCs/>
                <w:szCs w:val="28"/>
                <w:vertAlign w:val="superscript"/>
              </w:rPr>
              <w:t>2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636A9983" w14:textId="1DF976B7" w:rsidR="00D21792" w:rsidRDefault="00D21792" w:rsidP="00826E03">
            <w:pPr>
              <w:pStyle w:val="TableParagraph"/>
              <w:spacing w:line="244" w:lineRule="exact"/>
              <w:ind w:left="5" w:right="87" w:hanging="8"/>
              <w:rPr>
                <w:sz w:val="18"/>
              </w:rPr>
            </w:pPr>
            <w:r>
              <w:rPr>
                <w:sz w:val="18"/>
              </w:rPr>
              <w:t>Povinné / Europass</w:t>
            </w:r>
            <w:r w:rsidR="00826E03">
              <w:rPr>
                <w:sz w:val="18"/>
              </w:rPr>
              <w:t xml:space="preserve"> </w:t>
            </w:r>
            <w:r>
              <w:rPr>
                <w:sz w:val="18"/>
              </w:rPr>
              <w:t>Mobilita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0B901DFF" w14:textId="77777777" w:rsidR="00D21792" w:rsidRDefault="00D21792" w:rsidP="00F4074B">
            <w:pPr>
              <w:pStyle w:val="TableParagraph"/>
              <w:spacing w:before="122"/>
              <w:ind w:left="76" w:right="66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</w:tr>
      <w:tr w:rsidR="00D21792" w14:paraId="28E8BB83" w14:textId="77777777" w:rsidTr="006E06E7">
        <w:trPr>
          <w:trHeight w:val="299"/>
          <w:jc w:val="center"/>
        </w:trPr>
        <w:tc>
          <w:tcPr>
            <w:tcW w:w="2263" w:type="dxa"/>
            <w:vAlign w:val="center"/>
          </w:tcPr>
          <w:p w14:paraId="25ED8774" w14:textId="1C7CBD07" w:rsidR="00D21792" w:rsidRPr="006E06E7" w:rsidRDefault="00D21792" w:rsidP="00F4074B">
            <w:pPr>
              <w:pStyle w:val="TableParagraph"/>
              <w:spacing w:before="28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Pozvaní experti</w:t>
            </w:r>
          </w:p>
        </w:tc>
        <w:tc>
          <w:tcPr>
            <w:tcW w:w="1985" w:type="dxa"/>
            <w:shd w:val="clear" w:color="auto" w:fill="FFCCCC"/>
            <w:vAlign w:val="center"/>
          </w:tcPr>
          <w:p w14:paraId="24723274" w14:textId="77777777" w:rsidR="00D21792" w:rsidRDefault="00D21792" w:rsidP="007A493A">
            <w:pPr>
              <w:pStyle w:val="TableParagraph"/>
              <w:spacing w:before="28"/>
              <w:ind w:left="0" w:right="-8"/>
              <w:rPr>
                <w:sz w:val="18"/>
              </w:rPr>
            </w:pPr>
            <w:r>
              <w:rPr>
                <w:sz w:val="18"/>
              </w:rPr>
              <w:t>Povinná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4C06404A" w14:textId="77777777" w:rsidR="00D21792" w:rsidRDefault="00D21792" w:rsidP="00164501">
            <w:pPr>
              <w:pStyle w:val="TableParagraph"/>
              <w:spacing w:before="28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26DD40E9" w14:textId="55ED2707" w:rsidR="00D21792" w:rsidRPr="00611CCE" w:rsidRDefault="00D21792" w:rsidP="00826E03">
            <w:pPr>
              <w:pStyle w:val="TableParagraph"/>
              <w:spacing w:before="28"/>
              <w:ind w:left="5" w:right="87" w:hanging="8"/>
              <w:rPr>
                <w:sz w:val="18"/>
                <w:vertAlign w:val="superscript"/>
              </w:rPr>
            </w:pPr>
            <w:r>
              <w:rPr>
                <w:sz w:val="18"/>
              </w:rPr>
              <w:t>Povinné</w:t>
            </w:r>
            <w:r w:rsidR="00611CCE" w:rsidRPr="008E0FDD">
              <w:rPr>
                <w:b/>
                <w:bCs/>
                <w:szCs w:val="28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10FDEF3" w14:textId="77777777" w:rsidR="00D21792" w:rsidRDefault="00D21792" w:rsidP="00F4074B">
            <w:pPr>
              <w:pStyle w:val="TableParagraph"/>
              <w:spacing w:before="28"/>
              <w:ind w:left="78" w:right="6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</w:tr>
      <w:tr w:rsidR="00D21792" w14:paraId="65F844F9" w14:textId="77777777" w:rsidTr="006E06E7">
        <w:trPr>
          <w:trHeight w:val="299"/>
          <w:jc w:val="center"/>
        </w:trPr>
        <w:tc>
          <w:tcPr>
            <w:tcW w:w="2263" w:type="dxa"/>
            <w:shd w:val="clear" w:color="auto" w:fill="FFFFFF" w:themeFill="background1"/>
            <w:vAlign w:val="center"/>
          </w:tcPr>
          <w:p w14:paraId="036E6304" w14:textId="786C894F" w:rsidR="00D21792" w:rsidRPr="006E06E7" w:rsidRDefault="00D21792" w:rsidP="00F4074B">
            <w:pPr>
              <w:pStyle w:val="TableParagraph"/>
              <w:spacing w:before="26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Přípravné návštěvy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CD93C70" w14:textId="6F401846" w:rsidR="00D21792" w:rsidRDefault="00D21792" w:rsidP="007A493A">
            <w:pPr>
              <w:pStyle w:val="TableParagraph"/>
              <w:spacing w:before="26"/>
              <w:ind w:left="0" w:right="-8"/>
              <w:rPr>
                <w:sz w:val="18"/>
              </w:rPr>
            </w:pPr>
            <w:r>
              <w:rPr>
                <w:sz w:val="18"/>
              </w:rPr>
              <w:t>Netýká se</w:t>
            </w:r>
            <w:r w:rsidR="00DD3AD9" w:rsidRPr="008E0FDD">
              <w:rPr>
                <w:b/>
                <w:bCs/>
                <w:szCs w:val="28"/>
                <w:vertAlign w:val="superscript"/>
              </w:rPr>
              <w:t>5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74F06010" w14:textId="77777777" w:rsidR="00D21792" w:rsidRDefault="00D21792" w:rsidP="00164501">
            <w:pPr>
              <w:pStyle w:val="TableParagraph"/>
              <w:spacing w:before="26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44A23BAD" w14:textId="6E94BBDC" w:rsidR="00D21792" w:rsidRDefault="00D21792" w:rsidP="00826E03">
            <w:pPr>
              <w:pStyle w:val="TableParagraph"/>
              <w:spacing w:before="26"/>
              <w:ind w:left="5" w:right="87" w:hanging="8"/>
              <w:rPr>
                <w:sz w:val="18"/>
              </w:rPr>
            </w:pPr>
            <w:r>
              <w:rPr>
                <w:sz w:val="18"/>
              </w:rPr>
              <w:t>Povinné</w:t>
            </w:r>
            <w:r w:rsidR="00DD3AD9" w:rsidRPr="008E0FDD">
              <w:rPr>
                <w:b/>
                <w:bCs/>
                <w:szCs w:val="28"/>
                <w:vertAlign w:val="superscript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ED82B0D" w14:textId="77777777" w:rsidR="00D21792" w:rsidRDefault="00D21792" w:rsidP="00F4074B">
            <w:pPr>
              <w:pStyle w:val="TableParagraph"/>
              <w:spacing w:before="26"/>
              <w:ind w:left="78" w:right="6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</w:tr>
      <w:tr w:rsidR="00D21792" w14:paraId="17DF876D" w14:textId="77777777" w:rsidTr="006E06E7">
        <w:trPr>
          <w:trHeight w:val="316"/>
          <w:jc w:val="center"/>
        </w:trPr>
        <w:tc>
          <w:tcPr>
            <w:tcW w:w="2263" w:type="dxa"/>
            <w:shd w:val="clear" w:color="auto" w:fill="FBD4B4" w:themeFill="accent6" w:themeFillTint="66"/>
            <w:vAlign w:val="center"/>
          </w:tcPr>
          <w:p w14:paraId="007AE797" w14:textId="2D79CD5E" w:rsidR="00D21792" w:rsidRPr="006E06E7" w:rsidRDefault="00D21792" w:rsidP="00F4074B">
            <w:pPr>
              <w:pStyle w:val="TableParagraph"/>
              <w:spacing w:before="35"/>
              <w:ind w:left="69"/>
              <w:rPr>
                <w:b/>
                <w:bCs/>
                <w:sz w:val="18"/>
              </w:rPr>
            </w:pPr>
            <w:r w:rsidRPr="006E06E7">
              <w:rPr>
                <w:b/>
                <w:bCs/>
                <w:sz w:val="18"/>
              </w:rPr>
              <w:t>Doprovodné osoby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6134B40" w14:textId="34F8CD16" w:rsidR="00D21792" w:rsidRDefault="00DD3AD9" w:rsidP="007A493A">
            <w:pPr>
              <w:pStyle w:val="TableParagraph"/>
              <w:spacing w:before="35"/>
              <w:ind w:left="0" w:right="-8"/>
              <w:rPr>
                <w:sz w:val="18"/>
              </w:rPr>
            </w:pPr>
            <w:r>
              <w:rPr>
                <w:sz w:val="18"/>
              </w:rPr>
              <w:t>Netýká se</w:t>
            </w:r>
            <w:r w:rsidRPr="008E0FDD">
              <w:rPr>
                <w:b/>
                <w:bCs/>
                <w:szCs w:val="28"/>
                <w:vertAlign w:val="superscript"/>
              </w:rPr>
              <w:t>5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D3A7CFE" w14:textId="77777777" w:rsidR="00D21792" w:rsidRDefault="00D21792" w:rsidP="00164501">
            <w:pPr>
              <w:pStyle w:val="TableParagraph"/>
              <w:spacing w:before="35"/>
              <w:ind w:left="0" w:right="-5" w:hanging="4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  <w:tc>
          <w:tcPr>
            <w:tcW w:w="1844" w:type="dxa"/>
            <w:shd w:val="clear" w:color="auto" w:fill="FFCCCC"/>
            <w:vAlign w:val="center"/>
          </w:tcPr>
          <w:p w14:paraId="37D9D7BA" w14:textId="0FE3BB6C" w:rsidR="00D21792" w:rsidRDefault="00D21792" w:rsidP="00826E03">
            <w:pPr>
              <w:pStyle w:val="TableParagraph"/>
              <w:spacing w:before="26"/>
              <w:ind w:left="5" w:right="87" w:hanging="8"/>
              <w:rPr>
                <w:sz w:val="18"/>
              </w:rPr>
            </w:pPr>
            <w:r>
              <w:rPr>
                <w:sz w:val="18"/>
              </w:rPr>
              <w:t>Potvrzení o účasti na mobilitě</w:t>
            </w:r>
            <w:r w:rsidR="007937B3">
              <w:rPr>
                <w:sz w:val="18"/>
              </w:rPr>
              <w:t xml:space="preserve"> </w:t>
            </w:r>
            <w:r w:rsidR="00DD3AD9" w:rsidRPr="008E0FDD">
              <w:rPr>
                <w:b/>
                <w:bCs/>
                <w:szCs w:val="28"/>
                <w:vertAlign w:val="superscript"/>
              </w:rPr>
              <w:t>6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B35BEA5" w14:textId="77777777" w:rsidR="00D21792" w:rsidRDefault="00D21792" w:rsidP="00F4074B">
            <w:pPr>
              <w:pStyle w:val="TableParagraph"/>
              <w:spacing w:before="35"/>
              <w:ind w:left="78" w:right="66"/>
              <w:rPr>
                <w:sz w:val="18"/>
              </w:rPr>
            </w:pPr>
            <w:r>
              <w:rPr>
                <w:sz w:val="18"/>
              </w:rPr>
              <w:t>Netýká se</w:t>
            </w:r>
          </w:p>
        </w:tc>
      </w:tr>
    </w:tbl>
    <w:p w14:paraId="468B02B8" w14:textId="77777777" w:rsidR="00F43316" w:rsidRDefault="00F43316" w:rsidP="00CA3FE9">
      <w:pPr>
        <w:pStyle w:val="Zkladntext"/>
        <w:spacing w:before="259"/>
        <w:jc w:val="both"/>
      </w:pPr>
    </w:p>
    <w:p w14:paraId="7CE9BD4F" w14:textId="634D26B2" w:rsidR="00F43316" w:rsidRDefault="00F43316" w:rsidP="00CA3FE9">
      <w:pPr>
        <w:pStyle w:val="Zkladntext"/>
        <w:spacing w:before="259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D270E7" wp14:editId="575BDF0F">
            <wp:simplePos x="0" y="0"/>
            <wp:positionH relativeFrom="margin">
              <wp:posOffset>2225896</wp:posOffset>
            </wp:positionH>
            <wp:positionV relativeFrom="margin">
              <wp:posOffset>7381875</wp:posOffset>
            </wp:positionV>
            <wp:extent cx="1993396" cy="609601"/>
            <wp:effectExtent l="0" t="0" r="0" b="0"/>
            <wp:wrapSquare wrapText="bothSides"/>
            <wp:docPr id="1788747888" name="Obrázek 2" descr="Obsah obrázku Písmo, Grafika,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747888" name="Obrázek 2" descr="Obsah obrázku Písmo, Grafika, text, snímek obrazovky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396" cy="609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CB60E4" w14:textId="77777777" w:rsidR="00F43316" w:rsidRDefault="00F43316" w:rsidP="00CA3FE9">
      <w:pPr>
        <w:pStyle w:val="Zkladntext"/>
        <w:spacing w:before="259"/>
        <w:jc w:val="both"/>
      </w:pPr>
    </w:p>
    <w:p w14:paraId="2D8356FB" w14:textId="58A869BD" w:rsidR="00D32278" w:rsidRDefault="00A36279" w:rsidP="00CA3FE9">
      <w:pPr>
        <w:pStyle w:val="Zkladntext"/>
        <w:spacing w:before="259"/>
        <w:jc w:val="both"/>
      </w:pPr>
      <w:r>
        <w:lastRenderedPageBreak/>
        <w:t>DZS poskytuje příjemcům grantu v</w:t>
      </w:r>
      <w:r w:rsidR="00DC57E1">
        <w:t>zory níže uvedených dokumentů</w:t>
      </w:r>
      <w:r>
        <w:t>.</w:t>
      </w:r>
      <w:r w:rsidR="00DC57E1">
        <w:t xml:space="preserve"> </w:t>
      </w:r>
      <w:r>
        <w:t>J</w:t>
      </w:r>
      <w:r w:rsidR="00DC57E1">
        <w:t xml:space="preserve">sou </w:t>
      </w:r>
      <w:r w:rsidR="008D1631">
        <w:t xml:space="preserve">stejné pro mobility žáků </w:t>
      </w:r>
      <w:r w:rsidR="0037474C">
        <w:br/>
      </w:r>
      <w:r w:rsidR="008D1631">
        <w:t>i pracovníků</w:t>
      </w:r>
      <w:r w:rsidR="00D32278">
        <w:t>:</w:t>
      </w:r>
    </w:p>
    <w:p w14:paraId="2D7D96B8" w14:textId="77777777" w:rsidR="00B05EA4" w:rsidRDefault="00B05EA4" w:rsidP="00C11A7A">
      <w:pPr>
        <w:pStyle w:val="Odstavecseseznamem"/>
        <w:tabs>
          <w:tab w:val="left" w:pos="1396"/>
          <w:tab w:val="left" w:pos="1397"/>
        </w:tabs>
        <w:spacing w:line="256" w:lineRule="auto"/>
        <w:ind w:right="1092" w:firstLine="0"/>
        <w:jc w:val="both"/>
      </w:pPr>
    </w:p>
    <w:p w14:paraId="474F408B" w14:textId="116F149D" w:rsidR="00FD3BA9" w:rsidRDefault="00B7286A" w:rsidP="00B876D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ind w:right="1092"/>
        <w:jc w:val="both"/>
        <w:rPr>
          <w:b/>
          <w:bCs/>
        </w:rPr>
      </w:pPr>
      <w:r w:rsidRPr="003F136C">
        <w:rPr>
          <w:b/>
          <w:bCs/>
        </w:rPr>
        <w:t>Účastnick</w:t>
      </w:r>
      <w:r w:rsidR="00144BA7" w:rsidRPr="003F136C">
        <w:rPr>
          <w:b/>
          <w:bCs/>
        </w:rPr>
        <w:t>á</w:t>
      </w:r>
      <w:r w:rsidRPr="003F136C">
        <w:rPr>
          <w:b/>
          <w:bCs/>
        </w:rPr>
        <w:t xml:space="preserve"> smlouv</w:t>
      </w:r>
      <w:r w:rsidR="00144BA7" w:rsidRPr="003F136C">
        <w:rPr>
          <w:b/>
          <w:bCs/>
        </w:rPr>
        <w:t>a</w:t>
      </w:r>
      <w:r>
        <w:t xml:space="preserve"> mezi vysílající organizací a účastníkem definuj</w:t>
      </w:r>
      <w:r w:rsidR="00DB4BB6">
        <w:t>e</w:t>
      </w:r>
      <w:r>
        <w:t xml:space="preserve"> finanční podporu účastníka a právní rámec pro mobilitu</w:t>
      </w:r>
      <w:r w:rsidR="00DB4BB6">
        <w:t>.</w:t>
      </w:r>
      <w:r>
        <w:t xml:space="preserve"> </w:t>
      </w:r>
      <w:r w:rsidR="00DB4BB6">
        <w:t>V</w:t>
      </w:r>
      <w:r>
        <w:t xml:space="preserve">zor </w:t>
      </w:r>
      <w:r w:rsidR="007B729F">
        <w:t>účastnické smlouvy tvoří</w:t>
      </w:r>
      <w:r>
        <w:t xml:space="preserve"> </w:t>
      </w:r>
      <w:r w:rsidR="0076746A">
        <w:t>P</w:t>
      </w:r>
      <w:r>
        <w:t>říloh</w:t>
      </w:r>
      <w:r w:rsidR="007B729F">
        <w:t>u</w:t>
      </w:r>
      <w:r>
        <w:t xml:space="preserve"> </w:t>
      </w:r>
      <w:r w:rsidR="005D450B">
        <w:t>6</w:t>
      </w:r>
      <w:r w:rsidR="007B729F">
        <w:t>.</w:t>
      </w:r>
      <w:r>
        <w:t xml:space="preserve"> </w:t>
      </w:r>
      <w:r w:rsidR="0076746A">
        <w:t>G</w:t>
      </w:r>
      <w:r>
        <w:t>rantové</w:t>
      </w:r>
      <w:r w:rsidRPr="00E74B39">
        <w:t xml:space="preserve"> </w:t>
      </w:r>
      <w:r>
        <w:t>dohody.</w:t>
      </w:r>
      <w:r w:rsidR="002412F8">
        <w:t xml:space="preserve"> </w:t>
      </w:r>
      <w:r w:rsidR="00DC1819">
        <w:t>Účastnická smlouva včetně příloh</w:t>
      </w:r>
      <w:r w:rsidR="00252704">
        <w:t>y</w:t>
      </w:r>
      <w:r w:rsidR="00DC1819">
        <w:t xml:space="preserve"> musí být </w:t>
      </w:r>
      <w:r w:rsidR="00DC1819" w:rsidRPr="003F136C">
        <w:rPr>
          <w:b/>
          <w:bCs/>
        </w:rPr>
        <w:t>podepsaná před výjezdem na mobilitu.</w:t>
      </w:r>
      <w:r w:rsidR="001A20AE" w:rsidRPr="003F136C">
        <w:rPr>
          <w:b/>
          <w:bCs/>
        </w:rPr>
        <w:t xml:space="preserve"> </w:t>
      </w:r>
    </w:p>
    <w:p w14:paraId="63A1DC99" w14:textId="57CA4C23" w:rsidR="00031F8F" w:rsidRPr="00A2048C" w:rsidRDefault="00B7286A" w:rsidP="00B876D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ind w:right="1092"/>
        <w:jc w:val="both"/>
        <w:rPr>
          <w:b/>
          <w:bCs/>
        </w:rPr>
      </w:pPr>
      <w:r w:rsidRPr="00FD3BA9">
        <w:rPr>
          <w:b/>
          <w:bCs/>
        </w:rPr>
        <w:t>Smlouv</w:t>
      </w:r>
      <w:r w:rsidR="00C11A7A" w:rsidRPr="00FD3BA9">
        <w:rPr>
          <w:b/>
          <w:bCs/>
        </w:rPr>
        <w:t>a</w:t>
      </w:r>
      <w:r w:rsidRPr="00FD3BA9">
        <w:rPr>
          <w:b/>
          <w:bCs/>
        </w:rPr>
        <w:t xml:space="preserve"> o učení</w:t>
      </w:r>
      <w:r>
        <w:t xml:space="preserve"> (Learning </w:t>
      </w:r>
      <w:proofErr w:type="spellStart"/>
      <w:r>
        <w:t>agreement</w:t>
      </w:r>
      <w:proofErr w:type="spellEnd"/>
      <w:r>
        <w:t>)</w:t>
      </w:r>
      <w:r w:rsidR="00750981">
        <w:t>, kter</w:t>
      </w:r>
      <w:r w:rsidR="00C11A7A">
        <w:t>á</w:t>
      </w:r>
      <w:r w:rsidR="00750981">
        <w:t xml:space="preserve"> je přílohou účastnické smlouvy</w:t>
      </w:r>
      <w:r w:rsidR="009C070F">
        <w:t xml:space="preserve"> v případě individuálních aktivit žáků a pracovníků</w:t>
      </w:r>
      <w:r w:rsidR="00750981">
        <w:t>,</w:t>
      </w:r>
      <w:r>
        <w:t xml:space="preserve"> definuj</w:t>
      </w:r>
      <w:r w:rsidR="009D5AAD">
        <w:t>e</w:t>
      </w:r>
      <w:r>
        <w:t xml:space="preserve"> podmínky realizace mobility a očekávané výsledky</w:t>
      </w:r>
      <w:r w:rsidRPr="00FD3BA9">
        <w:rPr>
          <w:spacing w:val="-7"/>
        </w:rPr>
        <w:t xml:space="preserve"> </w:t>
      </w:r>
      <w:r>
        <w:t>učení</w:t>
      </w:r>
      <w:r w:rsidR="00DB4BB6">
        <w:t>.</w:t>
      </w:r>
      <w:r w:rsidR="00031F8F" w:rsidRPr="00FD3BA9">
        <w:rPr>
          <w:b/>
          <w:bCs/>
        </w:rPr>
        <w:t xml:space="preserve"> </w:t>
      </w:r>
      <w:r w:rsidR="00DB4BB6">
        <w:rPr>
          <w:b/>
          <w:bCs/>
        </w:rPr>
        <w:t>P</w:t>
      </w:r>
      <w:r w:rsidR="00031F8F" w:rsidRPr="00FD3BA9">
        <w:rPr>
          <w:b/>
          <w:bCs/>
        </w:rPr>
        <w:t>odepsaná musí být před výjezdem na mobilitu</w:t>
      </w:r>
      <w:r w:rsidR="007B729F" w:rsidRPr="00FD3BA9">
        <w:rPr>
          <w:b/>
          <w:bCs/>
        </w:rPr>
        <w:t xml:space="preserve"> </w:t>
      </w:r>
      <w:r w:rsidR="007B729F" w:rsidRPr="004C3A98">
        <w:t>vysílající organizací, účastníkem a přijímající organizací</w:t>
      </w:r>
      <w:r w:rsidR="006220BD">
        <w:t xml:space="preserve"> (ne podpůrnou)</w:t>
      </w:r>
      <w:r w:rsidR="00031F8F" w:rsidRPr="004C3A98">
        <w:t>.</w:t>
      </w:r>
    </w:p>
    <w:p w14:paraId="7C8C1B02" w14:textId="67B56C87" w:rsidR="00E14872" w:rsidRPr="00FF01F9" w:rsidRDefault="00B7286A" w:rsidP="002622B2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ind w:left="1395" w:right="998" w:hanging="357"/>
        <w:jc w:val="both"/>
        <w:rPr>
          <w:i/>
          <w:iCs/>
        </w:rPr>
      </w:pPr>
      <w:r w:rsidRPr="001A2483">
        <w:rPr>
          <w:b/>
          <w:bCs/>
        </w:rPr>
        <w:t>Potvrzení ke smlouvě o učen</w:t>
      </w:r>
      <w:r>
        <w:t xml:space="preserve">í (Learning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complement</w:t>
      </w:r>
      <w:proofErr w:type="spellEnd"/>
      <w:r>
        <w:t xml:space="preserve">) </w:t>
      </w:r>
      <w:r w:rsidRPr="00D00FED">
        <w:rPr>
          <w:b/>
          <w:bCs/>
        </w:rPr>
        <w:t xml:space="preserve">vyhotovené po </w:t>
      </w:r>
      <w:r w:rsidR="00B872FE" w:rsidRPr="00D00FED">
        <w:rPr>
          <w:b/>
          <w:bCs/>
        </w:rPr>
        <w:t>mobilitě</w:t>
      </w:r>
      <w:r>
        <w:t xml:space="preserve"> potvrzuj</w:t>
      </w:r>
      <w:r w:rsidR="00063E85">
        <w:t>e</w:t>
      </w:r>
      <w:r>
        <w:t xml:space="preserve">, že </w:t>
      </w:r>
      <w:r w:rsidR="00B872FE">
        <w:t>mobilita</w:t>
      </w:r>
      <w:r>
        <w:t xml:space="preserve"> proběhla podle plánu</w:t>
      </w:r>
      <w:r w:rsidR="007B729F">
        <w:t xml:space="preserve">, jak byl uveden ve Smlouvě o učení (Learning </w:t>
      </w:r>
      <w:proofErr w:type="spellStart"/>
      <w:r w:rsidR="007B729F">
        <w:t>Agreement</w:t>
      </w:r>
      <w:proofErr w:type="spellEnd"/>
      <w:r w:rsidR="007B729F">
        <w:t>)</w:t>
      </w:r>
      <w:r w:rsidR="00750981">
        <w:t>, případně refl</w:t>
      </w:r>
      <w:r w:rsidR="008C76CE">
        <w:t>ektuje změny během mobility</w:t>
      </w:r>
      <w:r>
        <w:t xml:space="preserve">. </w:t>
      </w:r>
      <w:r w:rsidR="00FF01F9">
        <w:br/>
      </w:r>
      <w:r>
        <w:t xml:space="preserve">Potvrzení ke </w:t>
      </w:r>
      <w:r w:rsidR="004379AF">
        <w:t>s</w:t>
      </w:r>
      <w:r>
        <w:t>mlouvě o učení se nevyžaduje, pokud stejné náležitosti splňuje i jiná vydaná</w:t>
      </w:r>
      <w:r w:rsidRPr="00FF01F9">
        <w:rPr>
          <w:spacing w:val="-30"/>
        </w:rPr>
        <w:t xml:space="preserve"> </w:t>
      </w:r>
      <w:r>
        <w:t>dokumentace</w:t>
      </w:r>
      <w:r w:rsidR="008C76CE">
        <w:t xml:space="preserve"> </w:t>
      </w:r>
      <w:r>
        <w:t xml:space="preserve">– například </w:t>
      </w:r>
      <w:r w:rsidRPr="007C76C2">
        <w:t>Europass Mobilita</w:t>
      </w:r>
      <w:r w:rsidR="00CC3316">
        <w:t xml:space="preserve"> </w:t>
      </w:r>
      <w:r w:rsidR="00BF22A5">
        <w:t>(Doklad o stáži).</w:t>
      </w:r>
    </w:p>
    <w:p w14:paraId="7EF17119" w14:textId="76C742FB" w:rsidR="004100A7" w:rsidRDefault="00B7286A" w:rsidP="00B876D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jc w:val="both"/>
      </w:pPr>
      <w:r w:rsidRPr="00A771DC">
        <w:rPr>
          <w:b/>
          <w:bCs/>
        </w:rPr>
        <w:t>Europass Mobilita</w:t>
      </w:r>
      <w:r>
        <w:t xml:space="preserve"> je standardizovaný dokument sloužící k</w:t>
      </w:r>
      <w:r w:rsidR="008D5F21">
        <w:t> </w:t>
      </w:r>
      <w:r>
        <w:t xml:space="preserve">zaznamenání výsledků učení dosažených během období mobility. </w:t>
      </w:r>
      <w:r w:rsidRPr="00D71314">
        <w:rPr>
          <w:b/>
          <w:bCs/>
        </w:rPr>
        <w:t>Je</w:t>
      </w:r>
      <w:r w:rsidR="009A472C" w:rsidRPr="00D71314">
        <w:rPr>
          <w:b/>
          <w:bCs/>
        </w:rPr>
        <w:t xml:space="preserve">ho použití </w:t>
      </w:r>
      <w:r w:rsidR="009D6B1F" w:rsidRPr="00D71314">
        <w:rPr>
          <w:b/>
          <w:bCs/>
        </w:rPr>
        <w:t xml:space="preserve">je </w:t>
      </w:r>
      <w:r w:rsidR="004F6CB5" w:rsidRPr="00D71314">
        <w:rPr>
          <w:b/>
          <w:bCs/>
        </w:rPr>
        <w:t>preferované</w:t>
      </w:r>
      <w:r w:rsidR="009D6B1F">
        <w:t>.</w:t>
      </w:r>
      <w:r w:rsidR="002C522E" w:rsidRPr="002C522E">
        <w:rPr>
          <w:i/>
          <w:iCs/>
        </w:rPr>
        <w:t xml:space="preserve"> </w:t>
      </w:r>
      <w:r w:rsidR="002C522E" w:rsidRPr="004C3A98">
        <w:t>Od května 2022 je Europass v</w:t>
      </w:r>
      <w:r w:rsidR="008D5F21">
        <w:t> </w:t>
      </w:r>
      <w:r w:rsidR="002C522E" w:rsidRPr="004C3A98">
        <w:t xml:space="preserve">elektronické podobě. </w:t>
      </w:r>
      <w:r w:rsidR="00B45B83">
        <w:t>S</w:t>
      </w:r>
      <w:r w:rsidR="002C522E" w:rsidRPr="004C3A98">
        <w:t xml:space="preserve">oubor </w:t>
      </w:r>
      <w:r w:rsidR="00B45B83" w:rsidRPr="007F59C6">
        <w:rPr>
          <w:b/>
          <w:bCs/>
        </w:rPr>
        <w:t>podepsaný po mobilitě přijímající organizací a účastníkem</w:t>
      </w:r>
      <w:r w:rsidR="00B45B83">
        <w:t xml:space="preserve"> </w:t>
      </w:r>
      <w:r w:rsidR="002C522E" w:rsidRPr="004C3A98">
        <w:t xml:space="preserve">si uloží </w:t>
      </w:r>
      <w:r w:rsidR="00DC2202">
        <w:t>vysílající o</w:t>
      </w:r>
      <w:r w:rsidR="00BB670C">
        <w:t>r</w:t>
      </w:r>
      <w:r w:rsidR="00DC2202">
        <w:t>ganizace</w:t>
      </w:r>
      <w:r w:rsidR="002C522E" w:rsidRPr="004C3A98">
        <w:t xml:space="preserve"> do složky projektu a účastník si uloží soubor například do Europass e-portfolia</w:t>
      </w:r>
      <w:r w:rsidR="002C522E">
        <w:rPr>
          <w:i/>
          <w:iCs/>
        </w:rPr>
        <w:t xml:space="preserve">. </w:t>
      </w:r>
      <w:hyperlink r:id="rId11" w:history="1">
        <w:r w:rsidR="00474336" w:rsidRPr="004C3A98">
          <w:rPr>
            <w:rStyle w:val="Hypertextovodkaz"/>
          </w:rPr>
          <w:t>https://europass.cz/co-je-europass/doklad-o-stazi</w:t>
        </w:r>
      </w:hyperlink>
      <w:r w:rsidR="00474336" w:rsidRPr="004C3A98">
        <w:t xml:space="preserve"> </w:t>
      </w:r>
    </w:p>
    <w:p w14:paraId="5C135453" w14:textId="77777777" w:rsidR="00B876DB" w:rsidRDefault="008D5F21" w:rsidP="00B876DB">
      <w:pPr>
        <w:tabs>
          <w:tab w:val="left" w:pos="1396"/>
          <w:tab w:val="left" w:pos="1397"/>
        </w:tabs>
        <w:spacing w:after="120"/>
        <w:ind w:left="1395" w:right="998" w:hanging="357"/>
        <w:contextualSpacing/>
        <w:jc w:val="both"/>
      </w:pPr>
      <w:r>
        <w:tab/>
      </w:r>
      <w:r w:rsidR="001618C3">
        <w:t xml:space="preserve">Europass mobilita </w:t>
      </w:r>
      <w:r w:rsidR="001618C3" w:rsidRPr="007C76C2">
        <w:rPr>
          <w:b/>
          <w:bCs/>
        </w:rPr>
        <w:t>nebo</w:t>
      </w:r>
      <w:r w:rsidR="001618C3">
        <w:t xml:space="preserve"> Potvrzení ke smlouvě o učení </w:t>
      </w:r>
      <w:r w:rsidR="005861FA">
        <w:t>dokládají Váš</w:t>
      </w:r>
      <w:r w:rsidR="001618C3">
        <w:t xml:space="preserve"> </w:t>
      </w:r>
      <w:r w:rsidR="005361C0">
        <w:t xml:space="preserve">nárok na grant (jednotkové příspěvky) </w:t>
      </w:r>
      <w:r w:rsidR="001618C3">
        <w:t xml:space="preserve">dle </w:t>
      </w:r>
      <w:r w:rsidR="00453362">
        <w:t>G</w:t>
      </w:r>
      <w:r w:rsidR="001618C3">
        <w:t>rantové dohody, Příloha 2</w:t>
      </w:r>
      <w:r w:rsidR="00453362">
        <w:t>.</w:t>
      </w:r>
    </w:p>
    <w:p w14:paraId="0FE8E2B3" w14:textId="3654537B" w:rsidR="005F2476" w:rsidRDefault="005F2476" w:rsidP="00B876D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ind w:right="998"/>
        <w:jc w:val="both"/>
      </w:pPr>
      <w:r w:rsidRPr="00B876DB">
        <w:rPr>
          <w:b/>
          <w:bCs/>
        </w:rPr>
        <w:t xml:space="preserve">Learning </w:t>
      </w:r>
      <w:proofErr w:type="spellStart"/>
      <w:r w:rsidRPr="00B876DB">
        <w:rPr>
          <w:b/>
          <w:bCs/>
        </w:rPr>
        <w:t>programme</w:t>
      </w:r>
      <w:proofErr w:type="spellEnd"/>
      <w:r w:rsidRPr="00B876DB">
        <w:rPr>
          <w:b/>
          <w:bCs/>
        </w:rPr>
        <w:t xml:space="preserve"> </w:t>
      </w:r>
      <w:proofErr w:type="spellStart"/>
      <w:r w:rsidRPr="00B876DB">
        <w:rPr>
          <w:b/>
          <w:bCs/>
        </w:rPr>
        <w:t>for</w:t>
      </w:r>
      <w:proofErr w:type="spellEnd"/>
      <w:r w:rsidRPr="00B876DB">
        <w:rPr>
          <w:b/>
          <w:bCs/>
        </w:rPr>
        <w:t xml:space="preserve"> </w:t>
      </w:r>
      <w:proofErr w:type="spellStart"/>
      <w:r w:rsidRPr="00B876DB">
        <w:rPr>
          <w:b/>
          <w:bCs/>
        </w:rPr>
        <w:t>group</w:t>
      </w:r>
      <w:proofErr w:type="spellEnd"/>
      <w:r w:rsidRPr="00B876DB">
        <w:rPr>
          <w:b/>
          <w:bCs/>
        </w:rPr>
        <w:t xml:space="preserve"> </w:t>
      </w:r>
      <w:proofErr w:type="spellStart"/>
      <w:r w:rsidRPr="00B876DB">
        <w:rPr>
          <w:b/>
          <w:bCs/>
        </w:rPr>
        <w:t>activities</w:t>
      </w:r>
      <w:proofErr w:type="spellEnd"/>
      <w:r w:rsidRPr="00B876DB">
        <w:rPr>
          <w:b/>
          <w:bCs/>
        </w:rPr>
        <w:t xml:space="preserve"> </w:t>
      </w:r>
      <w:r w:rsidRPr="003D1394">
        <w:t>(Vzdělávací program pro aktivitu Skupinová mobilita žáků</w:t>
      </w:r>
      <w:r>
        <w:t>) mezi vysílající organizací a přijímající školou</w:t>
      </w:r>
      <w:r w:rsidR="00573719">
        <w:t xml:space="preserve"> </w:t>
      </w:r>
      <w:r w:rsidR="00573719" w:rsidRPr="00901DE1">
        <w:rPr>
          <w:b/>
          <w:bCs/>
        </w:rPr>
        <w:t>podepsaný</w:t>
      </w:r>
      <w:r w:rsidR="00573719">
        <w:t xml:space="preserve"> </w:t>
      </w:r>
      <w:r w:rsidR="00573719" w:rsidRPr="00AB685F">
        <w:rPr>
          <w:b/>
          <w:bCs/>
        </w:rPr>
        <w:t>před mobilitou</w:t>
      </w:r>
      <w:r w:rsidR="00573719">
        <w:t>.</w:t>
      </w:r>
    </w:p>
    <w:p w14:paraId="118025CA" w14:textId="4DD2808B" w:rsidR="00C11A7A" w:rsidRPr="00C11A7A" w:rsidRDefault="008661D6" w:rsidP="00CE6A43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ind w:right="998"/>
        <w:jc w:val="both"/>
      </w:pPr>
      <w:r w:rsidRPr="00CE6A43">
        <w:rPr>
          <w:b/>
          <w:bCs/>
        </w:rPr>
        <w:t xml:space="preserve">Learning </w:t>
      </w:r>
      <w:proofErr w:type="spellStart"/>
      <w:r w:rsidRPr="00CE6A43">
        <w:rPr>
          <w:b/>
          <w:bCs/>
        </w:rPr>
        <w:t>program</w:t>
      </w:r>
      <w:r w:rsidR="00645D15" w:rsidRPr="00CE6A43">
        <w:rPr>
          <w:b/>
          <w:bCs/>
        </w:rPr>
        <w:t>me</w:t>
      </w:r>
      <w:proofErr w:type="spellEnd"/>
      <w:r w:rsidR="00645D15" w:rsidRPr="00CE6A43">
        <w:rPr>
          <w:b/>
          <w:bCs/>
        </w:rPr>
        <w:t xml:space="preserve"> </w:t>
      </w:r>
      <w:proofErr w:type="spellStart"/>
      <w:r w:rsidR="00645D15" w:rsidRPr="00CE6A43">
        <w:rPr>
          <w:b/>
          <w:bCs/>
        </w:rPr>
        <w:t>for</w:t>
      </w:r>
      <w:proofErr w:type="spellEnd"/>
      <w:r w:rsidR="00645D15" w:rsidRPr="00CE6A43">
        <w:rPr>
          <w:b/>
          <w:bCs/>
        </w:rPr>
        <w:t xml:space="preserve"> </w:t>
      </w:r>
      <w:proofErr w:type="spellStart"/>
      <w:r w:rsidR="00645D15" w:rsidRPr="00CE6A43">
        <w:rPr>
          <w:b/>
          <w:bCs/>
        </w:rPr>
        <w:t>group</w:t>
      </w:r>
      <w:proofErr w:type="spellEnd"/>
      <w:r w:rsidR="00645D15" w:rsidRPr="00CE6A43">
        <w:rPr>
          <w:b/>
          <w:bCs/>
        </w:rPr>
        <w:t xml:space="preserve"> </w:t>
      </w:r>
      <w:proofErr w:type="spellStart"/>
      <w:r w:rsidR="00645D15" w:rsidRPr="00CE6A43">
        <w:rPr>
          <w:b/>
          <w:bCs/>
        </w:rPr>
        <w:t>activities</w:t>
      </w:r>
      <w:proofErr w:type="spellEnd"/>
      <w:r w:rsidR="00645D15" w:rsidRPr="00CE6A43">
        <w:rPr>
          <w:b/>
          <w:bCs/>
        </w:rPr>
        <w:t xml:space="preserve"> </w:t>
      </w:r>
      <w:r w:rsidR="009A104C">
        <w:rPr>
          <w:b/>
          <w:bCs/>
        </w:rPr>
        <w:t>podepsaný</w:t>
      </w:r>
      <w:r w:rsidR="00E5352F" w:rsidRPr="00CE6A43">
        <w:rPr>
          <w:b/>
          <w:bCs/>
        </w:rPr>
        <w:t xml:space="preserve"> po mobilitě </w:t>
      </w:r>
      <w:r w:rsidR="00E5352F">
        <w:t>dokládá Váš nárok na grant (jednotkové příspěvky)</w:t>
      </w:r>
      <w:r w:rsidR="00C004FB">
        <w:t xml:space="preserve">, musí obsahovat náležitosti </w:t>
      </w:r>
      <w:r w:rsidR="00E5352F">
        <w:t>dle Grantové dohody, Příloha 2</w:t>
      </w:r>
      <w:r w:rsidR="00CE6A43">
        <w:t>.</w:t>
      </w:r>
    </w:p>
    <w:p w14:paraId="7C8C1B04" w14:textId="36B4B2EF" w:rsidR="00E14872" w:rsidRDefault="00B7286A" w:rsidP="00B876D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after="120"/>
        <w:ind w:right="1136"/>
        <w:jc w:val="both"/>
      </w:pPr>
      <w:r w:rsidRPr="009D6B1F">
        <w:rPr>
          <w:b/>
          <w:bCs/>
        </w:rPr>
        <w:t>Zpráv</w:t>
      </w:r>
      <w:r w:rsidR="00C11A7A">
        <w:rPr>
          <w:b/>
          <w:bCs/>
        </w:rPr>
        <w:t>a</w:t>
      </w:r>
      <w:r w:rsidRPr="009D6B1F">
        <w:rPr>
          <w:b/>
          <w:bCs/>
        </w:rPr>
        <w:t xml:space="preserve"> účastníka</w:t>
      </w:r>
      <w:r>
        <w:t xml:space="preserve"> </w:t>
      </w:r>
      <w:r w:rsidR="00031F8F" w:rsidRPr="00031F8F">
        <w:rPr>
          <w:b/>
          <w:bCs/>
        </w:rPr>
        <w:t xml:space="preserve">(EU </w:t>
      </w:r>
      <w:proofErr w:type="spellStart"/>
      <w:r w:rsidR="00031F8F" w:rsidRPr="00031F8F">
        <w:rPr>
          <w:b/>
          <w:bCs/>
        </w:rPr>
        <w:t>Survey</w:t>
      </w:r>
      <w:proofErr w:type="spellEnd"/>
      <w:r w:rsidR="00031F8F" w:rsidRPr="00031F8F">
        <w:rPr>
          <w:b/>
          <w:bCs/>
        </w:rPr>
        <w:t>)</w:t>
      </w:r>
      <w:r w:rsidR="00031F8F">
        <w:t xml:space="preserve"> </w:t>
      </w:r>
      <w:r>
        <w:t xml:space="preserve">– povinný online dotazník automaticky zaslaný </w:t>
      </w:r>
      <w:r w:rsidR="009D6001">
        <w:t xml:space="preserve">účastníkovi </w:t>
      </w:r>
      <w:r>
        <w:t>po mobilitě za účelem shromažďování informací o výsledcích</w:t>
      </w:r>
      <w:r w:rsidR="00BE0EBA">
        <w:t xml:space="preserve"> mobility</w:t>
      </w:r>
      <w:r>
        <w:t xml:space="preserve"> a spokojenosti</w:t>
      </w:r>
      <w:r>
        <w:rPr>
          <w:spacing w:val="-17"/>
        </w:rPr>
        <w:t xml:space="preserve"> </w:t>
      </w:r>
      <w:r>
        <w:t>účastníka.</w:t>
      </w:r>
    </w:p>
    <w:p w14:paraId="19FD65E7" w14:textId="5D923460" w:rsidR="00D64B6C" w:rsidRDefault="00D64B6C" w:rsidP="003154FB">
      <w:pPr>
        <w:tabs>
          <w:tab w:val="left" w:pos="1396"/>
          <w:tab w:val="left" w:pos="1397"/>
        </w:tabs>
        <w:spacing w:before="3" w:after="120" w:line="299" w:lineRule="exact"/>
        <w:ind w:left="1038" w:right="998"/>
        <w:jc w:val="both"/>
      </w:pPr>
      <w:r w:rsidRPr="00D64B6C">
        <w:t xml:space="preserve">Další </w:t>
      </w:r>
      <w:r w:rsidR="001003A0">
        <w:t xml:space="preserve">vzory </w:t>
      </w:r>
      <w:r w:rsidRPr="00D64B6C">
        <w:t>dokument</w:t>
      </w:r>
      <w:r w:rsidR="001003A0">
        <w:t>ů</w:t>
      </w:r>
      <w:r w:rsidRPr="00D64B6C">
        <w:t>:</w:t>
      </w:r>
    </w:p>
    <w:p w14:paraId="406E7900" w14:textId="1BFEEE50" w:rsidR="00823820" w:rsidRDefault="00823820" w:rsidP="00A50A95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after="120" w:line="299" w:lineRule="exact"/>
        <w:ind w:left="1395" w:right="998" w:hanging="357"/>
        <w:jc w:val="both"/>
      </w:pPr>
      <w:r w:rsidRPr="00D870CC">
        <w:rPr>
          <w:b/>
          <w:bCs/>
        </w:rPr>
        <w:t>Potvrzení o účasti na soutěži odborných dovedností</w:t>
      </w:r>
      <w:r w:rsidR="001003A0">
        <w:rPr>
          <w:b/>
          <w:bCs/>
        </w:rPr>
        <w:t xml:space="preserve"> </w:t>
      </w:r>
      <w:r w:rsidR="001003A0" w:rsidRPr="001003A0">
        <w:t>– dokládá účast žáka na soutěži</w:t>
      </w:r>
      <w:r w:rsidR="00461E3B">
        <w:t>, dokládá nárok na grant (jednotkové příspěvky) dle Grantové dohody, Příloha 2.</w:t>
      </w:r>
    </w:p>
    <w:p w14:paraId="017F57D0" w14:textId="28829738" w:rsidR="00A50A95" w:rsidRPr="001003A0" w:rsidRDefault="00823820" w:rsidP="00A50A95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after="120" w:line="299" w:lineRule="exact"/>
        <w:ind w:left="1395" w:right="998" w:hanging="357"/>
        <w:jc w:val="both"/>
      </w:pPr>
      <w:r w:rsidRPr="00174BB1">
        <w:rPr>
          <w:b/>
          <w:bCs/>
        </w:rPr>
        <w:lastRenderedPageBreak/>
        <w:t xml:space="preserve">Vzdělávací program zajištěný pozvaným </w:t>
      </w:r>
      <w:r w:rsidRPr="00E55479">
        <w:rPr>
          <w:b/>
          <w:bCs/>
        </w:rPr>
        <w:t>odborníkem</w:t>
      </w:r>
      <w:r w:rsidR="00A50A95" w:rsidRPr="009B0DEF">
        <w:t xml:space="preserve"> </w:t>
      </w:r>
      <w:r w:rsidR="009B0DEF" w:rsidRPr="009B0DEF">
        <w:t xml:space="preserve">(Learning </w:t>
      </w:r>
      <w:proofErr w:type="spellStart"/>
      <w:r w:rsidR="009B0DEF" w:rsidRPr="009B0DEF">
        <w:t>programme</w:t>
      </w:r>
      <w:proofErr w:type="spellEnd"/>
      <w:r w:rsidR="009B0DEF" w:rsidRPr="009B0DEF">
        <w:t xml:space="preserve"> </w:t>
      </w:r>
      <w:proofErr w:type="spellStart"/>
      <w:r w:rsidR="009B0DEF" w:rsidRPr="009B0DEF">
        <w:t>provided</w:t>
      </w:r>
      <w:proofErr w:type="spellEnd"/>
      <w:r w:rsidR="009B0DEF" w:rsidRPr="009B0DEF">
        <w:t xml:space="preserve"> by </w:t>
      </w:r>
      <w:proofErr w:type="spellStart"/>
      <w:r w:rsidR="009B0DEF" w:rsidRPr="009B0DEF">
        <w:t>an</w:t>
      </w:r>
      <w:proofErr w:type="spellEnd"/>
      <w:r w:rsidR="009B0DEF" w:rsidRPr="009B0DEF">
        <w:t xml:space="preserve"> </w:t>
      </w:r>
      <w:proofErr w:type="spellStart"/>
      <w:r w:rsidR="009B0DEF" w:rsidRPr="009B0DEF">
        <w:t>invited</w:t>
      </w:r>
      <w:proofErr w:type="spellEnd"/>
      <w:r w:rsidR="009B0DEF" w:rsidRPr="009B0DEF">
        <w:t xml:space="preserve"> expert</w:t>
      </w:r>
      <w:r w:rsidR="009B0DEF">
        <w:t>)</w:t>
      </w:r>
      <w:r w:rsidR="009B0DEF" w:rsidRPr="009B0DEF">
        <w:rPr>
          <w:b/>
          <w:bCs/>
        </w:rPr>
        <w:t xml:space="preserve"> </w:t>
      </w:r>
      <w:r w:rsidR="00A50A95">
        <w:rPr>
          <w:b/>
          <w:bCs/>
        </w:rPr>
        <w:t xml:space="preserve">- </w:t>
      </w:r>
      <w:r w:rsidR="00A50A95" w:rsidRPr="001003A0">
        <w:t xml:space="preserve">dokládá účast </w:t>
      </w:r>
      <w:r w:rsidR="00A50A95">
        <w:t>experta</w:t>
      </w:r>
      <w:r w:rsidR="00A50A95" w:rsidRPr="001003A0">
        <w:t xml:space="preserve"> na </w:t>
      </w:r>
      <w:r w:rsidR="00A50A95">
        <w:t>mobilitě, dokládá nárok na grant (jednotkové příspěvky) dle Grantové dohody, Příloha 2.</w:t>
      </w:r>
      <w:r w:rsidR="006544C7">
        <w:t xml:space="preserve"> Vzdělávací program se před mobilitou s pozvaným expertem dohodne</w:t>
      </w:r>
      <w:r w:rsidR="0085412F">
        <w:t xml:space="preserve"> bez nutnosti </w:t>
      </w:r>
      <w:r w:rsidR="00E55479">
        <w:t>dohodu stvrdit písemně podpisem.</w:t>
      </w:r>
    </w:p>
    <w:p w14:paraId="5F531C18" w14:textId="36440DEE" w:rsidR="009E29A1" w:rsidRDefault="009E29A1" w:rsidP="003154FB">
      <w:pPr>
        <w:pStyle w:val="Zkladntext"/>
        <w:spacing w:before="21" w:after="120"/>
        <w:ind w:left="1038"/>
      </w:pPr>
      <w:r>
        <w:t>D</w:t>
      </w:r>
      <w:r w:rsidR="004B7F9C">
        <w:t>okumenty poskytujeme v</w:t>
      </w:r>
      <w:r w:rsidR="006B07FF">
        <w:t> </w:t>
      </w:r>
      <w:r w:rsidR="004B7F9C">
        <w:t>anglick</w:t>
      </w:r>
      <w:r w:rsidR="006B07FF">
        <w:t xml:space="preserve">ém originále a </w:t>
      </w:r>
      <w:r>
        <w:t xml:space="preserve">pro informaci v </w:t>
      </w:r>
      <w:r w:rsidR="006B07FF">
        <w:t xml:space="preserve">českém překladu. </w:t>
      </w:r>
    </w:p>
    <w:p w14:paraId="7AB7EC07" w14:textId="77777777" w:rsidR="00247C66" w:rsidRDefault="00247C66" w:rsidP="003154FB">
      <w:pPr>
        <w:pStyle w:val="Zkladntext"/>
        <w:spacing w:before="21" w:after="120"/>
        <w:ind w:left="1038"/>
      </w:pPr>
    </w:p>
    <w:p w14:paraId="0C1F7A1F" w14:textId="13018D8E" w:rsidR="00C356CC" w:rsidRDefault="003154FB" w:rsidP="0093036C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after="120" w:line="299" w:lineRule="exact"/>
        <w:ind w:left="1395" w:right="998" w:hanging="357"/>
        <w:jc w:val="both"/>
        <w:rPr>
          <w:b/>
          <w:bCs/>
        </w:rPr>
      </w:pPr>
      <w:r w:rsidRPr="003154FB">
        <w:rPr>
          <w:b/>
          <w:bCs/>
        </w:rPr>
        <w:t>Čestné prohlášení o použití udržitelných dopravních prostředků</w:t>
      </w:r>
      <w:r w:rsidR="00E0504B">
        <w:rPr>
          <w:b/>
          <w:bCs/>
        </w:rPr>
        <w:t xml:space="preserve"> – </w:t>
      </w:r>
      <w:r w:rsidR="00E0504B" w:rsidRPr="004C3A98">
        <w:t xml:space="preserve">dokument slouží </w:t>
      </w:r>
      <w:r w:rsidR="00E0504B">
        <w:t>k</w:t>
      </w:r>
      <w:r w:rsidR="00E0504B" w:rsidRPr="004C3A98">
        <w:t xml:space="preserve"> doložení nároku na vyšší sazbu cestovních nákladů (dle </w:t>
      </w:r>
      <w:r w:rsidR="0093036C">
        <w:t>P</w:t>
      </w:r>
      <w:r w:rsidR="00E0504B" w:rsidRPr="004C3A98">
        <w:t xml:space="preserve">řílohy </w:t>
      </w:r>
      <w:r w:rsidR="0093036C">
        <w:t>2</w:t>
      </w:r>
      <w:r w:rsidR="00E0504B" w:rsidRPr="004C3A98">
        <w:t xml:space="preserve"> </w:t>
      </w:r>
      <w:r w:rsidR="0093036C">
        <w:t>G</w:t>
      </w:r>
      <w:r w:rsidR="00E0504B" w:rsidRPr="004C3A98">
        <w:t>rantové dohody).</w:t>
      </w:r>
    </w:p>
    <w:p w14:paraId="1521CC9C" w14:textId="3E041AB6" w:rsidR="003154FB" w:rsidRPr="004C3A98" w:rsidRDefault="003154FB" w:rsidP="003154FB">
      <w:pPr>
        <w:pStyle w:val="Odstavecseseznamem"/>
        <w:numPr>
          <w:ilvl w:val="0"/>
          <w:numId w:val="1"/>
        </w:numPr>
        <w:tabs>
          <w:tab w:val="left" w:pos="1396"/>
          <w:tab w:val="left" w:pos="1397"/>
        </w:tabs>
        <w:spacing w:before="3" w:after="120" w:line="299" w:lineRule="exact"/>
        <w:ind w:left="1395" w:right="998" w:hanging="357"/>
        <w:jc w:val="both"/>
      </w:pPr>
      <w:r w:rsidRPr="003154FB">
        <w:rPr>
          <w:b/>
          <w:bCs/>
        </w:rPr>
        <w:t>Čestné prohlášení o využití podpory inkluze</w:t>
      </w:r>
      <w:r w:rsidR="00E0504B">
        <w:rPr>
          <w:b/>
          <w:bCs/>
        </w:rPr>
        <w:t xml:space="preserve"> </w:t>
      </w:r>
      <w:r w:rsidR="00E0504B" w:rsidRPr="004C3A98">
        <w:t xml:space="preserve">– dokument slouží k doložení nároku na podporu inkluze pro organizaci </w:t>
      </w:r>
      <w:r w:rsidR="00E0504B" w:rsidRPr="0001402E">
        <w:t xml:space="preserve">(dle </w:t>
      </w:r>
      <w:r w:rsidR="0093036C">
        <w:t>P</w:t>
      </w:r>
      <w:r w:rsidR="0093036C" w:rsidRPr="004C3A98">
        <w:t xml:space="preserve">řílohy </w:t>
      </w:r>
      <w:r w:rsidR="0093036C">
        <w:t>2</w:t>
      </w:r>
      <w:r w:rsidR="0093036C" w:rsidRPr="004C3A98">
        <w:t xml:space="preserve"> </w:t>
      </w:r>
      <w:r w:rsidR="0093036C">
        <w:t>G</w:t>
      </w:r>
      <w:r w:rsidR="0093036C" w:rsidRPr="004C3A98">
        <w:t>rantové dohody</w:t>
      </w:r>
      <w:r w:rsidR="00E0504B" w:rsidRPr="0001402E">
        <w:t>)</w:t>
      </w:r>
      <w:r w:rsidR="00E0504B">
        <w:t>.</w:t>
      </w:r>
    </w:p>
    <w:p w14:paraId="360AE725" w14:textId="4103DAD1" w:rsidR="003154FB" w:rsidRDefault="003154FB">
      <w:pPr>
        <w:rPr>
          <w:b/>
          <w:bCs/>
        </w:rPr>
      </w:pPr>
    </w:p>
    <w:p w14:paraId="7C8C1B0C" w14:textId="6D377631" w:rsidR="00E14872" w:rsidRDefault="00BF3189">
      <w:pPr>
        <w:pStyle w:val="Zkladntext"/>
        <w:rPr>
          <w:sz w:val="29"/>
        </w:rPr>
      </w:pPr>
      <w:r>
        <w:rPr>
          <w:sz w:val="29"/>
        </w:rPr>
        <w:t>-----------------------------------------</w:t>
      </w:r>
    </w:p>
    <w:p w14:paraId="7C8C1B5C" w14:textId="5AFAE207" w:rsidR="00E14872" w:rsidRPr="00DA73A5" w:rsidRDefault="003E13D1">
      <w:pPr>
        <w:pStyle w:val="Zkladntext"/>
        <w:spacing w:before="9"/>
        <w:rPr>
          <w:b/>
          <w:bCs/>
        </w:rPr>
      </w:pPr>
      <w:r w:rsidRPr="00DA73A5">
        <w:rPr>
          <w:b/>
          <w:bCs/>
        </w:rPr>
        <w:t>POZN. k úvodní tabulce</w:t>
      </w:r>
    </w:p>
    <w:p w14:paraId="274CF897" w14:textId="77777777" w:rsidR="007F3922" w:rsidRDefault="007F3922" w:rsidP="0075664E">
      <w:pPr>
        <w:spacing w:line="244" w:lineRule="exact"/>
        <w:ind w:left="284" w:right="525"/>
        <w:jc w:val="both"/>
      </w:pPr>
    </w:p>
    <w:p w14:paraId="5FAA447C" w14:textId="534176CB" w:rsidR="00C52E06" w:rsidRPr="004D49B6" w:rsidRDefault="00F158A6" w:rsidP="00030BF8">
      <w:pPr>
        <w:ind w:left="284" w:right="527"/>
        <w:jc w:val="both"/>
      </w:pPr>
      <w:r w:rsidRPr="00C26AF6">
        <w:rPr>
          <w:b/>
          <w:bCs/>
        </w:rPr>
        <w:t>1</w:t>
      </w:r>
      <w:r w:rsidR="00B7286A" w:rsidRPr="004D49B6">
        <w:t xml:space="preserve"> </w:t>
      </w:r>
      <w:r w:rsidR="00C52E06" w:rsidRPr="004D49B6">
        <w:t xml:space="preserve">Pokud organizátor kurzu poskytl anotaci a harmonogram kurzu, </w:t>
      </w:r>
      <w:r w:rsidR="001247FC" w:rsidRPr="004D49B6">
        <w:t>není Smlouva o</w:t>
      </w:r>
      <w:r w:rsidR="004D49B6">
        <w:t xml:space="preserve"> </w:t>
      </w:r>
      <w:r w:rsidR="001247FC" w:rsidRPr="004D49B6">
        <w:t xml:space="preserve">učení povinná. V tom případě </w:t>
      </w:r>
      <w:r w:rsidR="00AC27E4" w:rsidRPr="004D49B6">
        <w:t>jako potvrzení účasti na mobilitě slouží certifikát o absolvování kurzu.</w:t>
      </w:r>
    </w:p>
    <w:p w14:paraId="1AA99CB2" w14:textId="77777777" w:rsidR="0075664E" w:rsidRDefault="0075664E" w:rsidP="00030BF8">
      <w:pPr>
        <w:ind w:left="284" w:right="527"/>
        <w:jc w:val="both"/>
      </w:pPr>
    </w:p>
    <w:p w14:paraId="7DB0C76A" w14:textId="4EF86A2C" w:rsidR="004107B9" w:rsidRPr="004D49B6" w:rsidRDefault="00AC27E4" w:rsidP="00030BF8">
      <w:pPr>
        <w:ind w:left="284" w:right="527"/>
        <w:jc w:val="both"/>
      </w:pPr>
      <w:r w:rsidRPr="004D49B6">
        <w:t xml:space="preserve">Pokud </w:t>
      </w:r>
      <w:r w:rsidR="00261FA8" w:rsidRPr="004D49B6">
        <w:t>organizátor</w:t>
      </w:r>
      <w:r w:rsidR="00B7286A" w:rsidRPr="004D49B6">
        <w:t xml:space="preserve"> kurzu </w:t>
      </w:r>
      <w:r w:rsidR="00261FA8" w:rsidRPr="004D49B6">
        <w:t xml:space="preserve">anotaci a harmonogram neposkytl, </w:t>
      </w:r>
      <w:r w:rsidR="00B7286A" w:rsidRPr="004D49B6">
        <w:t xml:space="preserve">doporučujeme </w:t>
      </w:r>
      <w:r w:rsidR="004107B9" w:rsidRPr="004D49B6">
        <w:t>u</w:t>
      </w:r>
      <w:r w:rsidR="00B7286A" w:rsidRPr="004D49B6">
        <w:t>zavř</w:t>
      </w:r>
      <w:r w:rsidR="004107B9" w:rsidRPr="004D49B6">
        <w:t>ít</w:t>
      </w:r>
      <w:r w:rsidR="00B7286A" w:rsidRPr="004D49B6">
        <w:t xml:space="preserve"> </w:t>
      </w:r>
      <w:r w:rsidR="004107B9" w:rsidRPr="004D49B6">
        <w:t>S</w:t>
      </w:r>
      <w:r w:rsidR="00B7286A" w:rsidRPr="004D49B6">
        <w:t>mlouv</w:t>
      </w:r>
      <w:r w:rsidR="004107B9" w:rsidRPr="004D49B6">
        <w:t>u</w:t>
      </w:r>
      <w:r w:rsidR="00B7286A" w:rsidRPr="004D49B6">
        <w:t xml:space="preserve"> </w:t>
      </w:r>
      <w:r w:rsidR="00E4268E">
        <w:br/>
      </w:r>
      <w:r w:rsidR="00B7286A" w:rsidRPr="004D49B6">
        <w:t>o učení.</w:t>
      </w:r>
      <w:r w:rsidR="004107B9" w:rsidRPr="004D49B6">
        <w:t xml:space="preserve"> Jako potvrzení pak slouží </w:t>
      </w:r>
      <w:r w:rsidR="00D72417" w:rsidRPr="004D49B6">
        <w:t>dokument Potvrzení ke smlouvě o učení.</w:t>
      </w:r>
    </w:p>
    <w:p w14:paraId="50C9A26C" w14:textId="77777777" w:rsidR="004D49B6" w:rsidRPr="004D49B6" w:rsidRDefault="004D49B6" w:rsidP="00030BF8">
      <w:pPr>
        <w:ind w:left="284" w:right="527"/>
        <w:jc w:val="both"/>
      </w:pPr>
    </w:p>
    <w:p w14:paraId="7C8C1B5F" w14:textId="354B8BE4" w:rsidR="00E14872" w:rsidRPr="004D49B6" w:rsidRDefault="00F158A6" w:rsidP="00030BF8">
      <w:pPr>
        <w:ind w:left="284" w:right="527"/>
        <w:jc w:val="both"/>
      </w:pPr>
      <w:r w:rsidRPr="00C26AF6">
        <w:rPr>
          <w:b/>
          <w:bCs/>
        </w:rPr>
        <w:t>2</w:t>
      </w:r>
      <w:r w:rsidR="00B7286A" w:rsidRPr="004D49B6">
        <w:t xml:space="preserve"> Smlouva o učení pro tento typ aktivity může být navržena vysílající </w:t>
      </w:r>
      <w:r w:rsidR="00D839CB" w:rsidRPr="004D49B6">
        <w:t xml:space="preserve">vysokoškolskou </w:t>
      </w:r>
      <w:r w:rsidR="005F4684" w:rsidRPr="004D49B6">
        <w:t>institucí</w:t>
      </w:r>
      <w:r w:rsidR="00B7286A" w:rsidRPr="004D49B6">
        <w:t>.</w:t>
      </w:r>
    </w:p>
    <w:p w14:paraId="11558FB4" w14:textId="77777777" w:rsidR="001373B8" w:rsidRPr="004D49B6" w:rsidRDefault="001373B8" w:rsidP="00030BF8">
      <w:pPr>
        <w:ind w:left="284" w:right="527"/>
        <w:jc w:val="both"/>
      </w:pPr>
    </w:p>
    <w:p w14:paraId="7C8C1B60" w14:textId="384210B3" w:rsidR="00E14872" w:rsidRPr="004D49B6" w:rsidRDefault="00F158A6" w:rsidP="00030BF8">
      <w:pPr>
        <w:ind w:left="284" w:right="527"/>
        <w:jc w:val="both"/>
      </w:pPr>
      <w:r w:rsidRPr="00C26AF6">
        <w:rPr>
          <w:b/>
          <w:bCs/>
        </w:rPr>
        <w:t>3</w:t>
      </w:r>
      <w:r w:rsidR="00B7286A" w:rsidRPr="004D49B6">
        <w:t xml:space="preserve"> Potvrzení </w:t>
      </w:r>
      <w:r w:rsidR="00FC7DC8" w:rsidRPr="004D49B6">
        <w:t>o účasti na mobilitě</w:t>
      </w:r>
      <w:r w:rsidR="00611CCE">
        <w:t xml:space="preserve"> pozvaného experta</w:t>
      </w:r>
      <w:r w:rsidR="00B7286A" w:rsidRPr="004D49B6">
        <w:t xml:space="preserve"> nahrazuje dokument s názvem "Vzdělávací program zajištěný pozvaným odborníkem".</w:t>
      </w:r>
      <w:r w:rsidR="00671C04" w:rsidRPr="004D49B6">
        <w:t xml:space="preserve"> </w:t>
      </w:r>
      <w:r w:rsidR="00FC7DC8" w:rsidRPr="004D49B6">
        <w:t>Jeho obsah je třeba dohodnout před začátkem mobility, jeho naplnění je stvrzeno podpisem na konci mobility.</w:t>
      </w:r>
    </w:p>
    <w:p w14:paraId="746E4E74" w14:textId="77777777" w:rsidR="004D49B6" w:rsidRPr="004D49B6" w:rsidRDefault="004D49B6" w:rsidP="00030BF8">
      <w:pPr>
        <w:ind w:left="284" w:right="527"/>
        <w:jc w:val="both"/>
      </w:pPr>
    </w:p>
    <w:p w14:paraId="20C4515A" w14:textId="53DFF03B" w:rsidR="00BF36D9" w:rsidRDefault="00C26AF6" w:rsidP="00030BF8">
      <w:pPr>
        <w:ind w:left="284" w:right="527"/>
        <w:jc w:val="both"/>
      </w:pPr>
      <w:r w:rsidRPr="00C26AF6">
        <w:rPr>
          <w:b/>
          <w:bCs/>
        </w:rPr>
        <w:t>4</w:t>
      </w:r>
      <w:r w:rsidR="00B7286A" w:rsidRPr="004D49B6">
        <w:t xml:space="preserve"> Potvrzení </w:t>
      </w:r>
      <w:r w:rsidR="007669F5">
        <w:t xml:space="preserve">o účasti na </w:t>
      </w:r>
      <w:r w:rsidR="00192F2C">
        <w:t>přípravné návštěv</w:t>
      </w:r>
      <w:r w:rsidR="007669F5">
        <w:t>ě</w:t>
      </w:r>
      <w:r w:rsidR="00B7286A" w:rsidRPr="004D49B6">
        <w:t xml:space="preserve"> nemá </w:t>
      </w:r>
      <w:r w:rsidR="00192F2C">
        <w:t xml:space="preserve">závazný </w:t>
      </w:r>
      <w:r w:rsidR="00B7286A" w:rsidRPr="004D49B6">
        <w:t>vzor</w:t>
      </w:r>
      <w:r w:rsidR="00A00C77" w:rsidRPr="004D49B6">
        <w:t>. Doklad musí obsahovat program</w:t>
      </w:r>
      <w:r w:rsidR="006700D7" w:rsidRPr="004D49B6">
        <w:t xml:space="preserve">, účel aktivity, jméno účastníka a podpis </w:t>
      </w:r>
      <w:r w:rsidR="00BF36D9" w:rsidRPr="004D49B6">
        <w:t xml:space="preserve">účastníka </w:t>
      </w:r>
      <w:r w:rsidR="00A00C77" w:rsidRPr="004D49B6">
        <w:t xml:space="preserve">a </w:t>
      </w:r>
      <w:r w:rsidR="00BF36D9" w:rsidRPr="004D49B6">
        <w:t>přijímající</w:t>
      </w:r>
      <w:r w:rsidR="00A00C77" w:rsidRPr="004D49B6">
        <w:t xml:space="preserve"> organizac</w:t>
      </w:r>
      <w:r w:rsidR="00BF36D9" w:rsidRPr="004D49B6">
        <w:t>e</w:t>
      </w:r>
      <w:r w:rsidR="00192F2C">
        <w:t xml:space="preserve"> (ne podpůrné)</w:t>
      </w:r>
      <w:r w:rsidR="00BF36D9" w:rsidRPr="004D49B6">
        <w:t>.</w:t>
      </w:r>
    </w:p>
    <w:p w14:paraId="17E72853" w14:textId="77777777" w:rsidR="005720E3" w:rsidRDefault="005720E3" w:rsidP="00030BF8">
      <w:pPr>
        <w:ind w:left="284" w:right="527"/>
        <w:jc w:val="both"/>
      </w:pPr>
    </w:p>
    <w:p w14:paraId="72E997E2" w14:textId="7BC47A52" w:rsidR="005720E3" w:rsidRDefault="00711588" w:rsidP="00030BF8">
      <w:pPr>
        <w:ind w:left="284" w:right="527"/>
        <w:jc w:val="both"/>
      </w:pPr>
      <w:r w:rsidRPr="00711588">
        <w:rPr>
          <w:b/>
          <w:bCs/>
        </w:rPr>
        <w:t>5</w:t>
      </w:r>
      <w:r w:rsidR="005720E3">
        <w:t xml:space="preserve"> </w:t>
      </w:r>
      <w:r w:rsidR="0087754A">
        <w:t>Osoby vyjíždějící jako doprovodné nebo na přípravné návštěvy nemají účastnickou smlouvu, ale řídí se zákoníkem práce a vyjíždě</w:t>
      </w:r>
      <w:r w:rsidR="00E74B39">
        <w:t>j</w:t>
      </w:r>
      <w:r w:rsidR="0087754A">
        <w:t xml:space="preserve">í na cestovní příkaz. </w:t>
      </w:r>
    </w:p>
    <w:p w14:paraId="4351115E" w14:textId="77777777" w:rsidR="00EF25D8" w:rsidRDefault="00EF25D8" w:rsidP="00030BF8">
      <w:pPr>
        <w:ind w:left="284" w:right="527"/>
        <w:jc w:val="both"/>
      </w:pPr>
    </w:p>
    <w:p w14:paraId="53DA47EA" w14:textId="46A1669C" w:rsidR="00EF25D8" w:rsidRDefault="00711588" w:rsidP="00030BF8">
      <w:pPr>
        <w:ind w:left="284" w:right="527"/>
        <w:jc w:val="both"/>
      </w:pPr>
      <w:r w:rsidRPr="00711588">
        <w:rPr>
          <w:b/>
          <w:bCs/>
        </w:rPr>
        <w:t>6</w:t>
      </w:r>
      <w:r w:rsidR="007937B3" w:rsidRPr="00711588">
        <w:rPr>
          <w:b/>
          <w:bCs/>
        </w:rPr>
        <w:t xml:space="preserve"> </w:t>
      </w:r>
      <w:r w:rsidR="007937B3" w:rsidRPr="006D64D9">
        <w:t>Potvrzení o účasti pro doprovodnou osobu musí být podepsáno přijímající organizací, nikoli podpůrnou. Pokud doprovodná osob</w:t>
      </w:r>
      <w:r w:rsidR="005A6DDB" w:rsidRPr="006D64D9">
        <w:t>a</w:t>
      </w:r>
      <w:r w:rsidR="007937B3" w:rsidRPr="006D64D9">
        <w:t xml:space="preserve"> doprovází skupinu účastníků, kteří jsou umístěni na různých pracovištích, potvrzení pro doprovodnou osobu podepíše alespoň jedna z nich.</w:t>
      </w:r>
    </w:p>
    <w:p w14:paraId="4D91635E" w14:textId="0603A5DB" w:rsidR="001A20AE" w:rsidRPr="002569BA" w:rsidRDefault="001A20AE" w:rsidP="00030BF8">
      <w:pPr>
        <w:ind w:left="284" w:right="527"/>
        <w:jc w:val="both"/>
        <w:rPr>
          <w:i/>
          <w:iCs/>
        </w:rPr>
      </w:pPr>
    </w:p>
    <w:sectPr w:rsidR="001A20AE" w:rsidRPr="002569BA" w:rsidSect="00CD7078">
      <w:headerReference w:type="default" r:id="rId12"/>
      <w:footerReference w:type="default" r:id="rId13"/>
      <w:headerReference w:type="first" r:id="rId14"/>
      <w:pgSz w:w="11910" w:h="16840"/>
      <w:pgMar w:top="1700" w:right="580" w:bottom="1940" w:left="740" w:header="1416" w:footer="174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AB3E9" w14:textId="77777777" w:rsidR="00507C7F" w:rsidRDefault="00507C7F">
      <w:r>
        <w:separator/>
      </w:r>
    </w:p>
  </w:endnote>
  <w:endnote w:type="continuationSeparator" w:id="0">
    <w:p w14:paraId="7294AF8B" w14:textId="77777777" w:rsidR="00507C7F" w:rsidRDefault="00507C7F">
      <w:r>
        <w:continuationSeparator/>
      </w:r>
    </w:p>
  </w:endnote>
  <w:endnote w:type="continuationNotice" w:id="1">
    <w:p w14:paraId="49BA45B0" w14:textId="77777777" w:rsidR="00507C7F" w:rsidRDefault="00507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C1B65" w14:textId="77777777" w:rsidR="00E14872" w:rsidRDefault="00B7286A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C8C1B6A" wp14:editId="7C8C1B6B">
          <wp:simplePos x="0" y="0"/>
          <wp:positionH relativeFrom="page">
            <wp:posOffset>563329</wp:posOffset>
          </wp:positionH>
          <wp:positionV relativeFrom="page">
            <wp:posOffset>9460176</wp:posOffset>
          </wp:positionV>
          <wp:extent cx="6395443" cy="728356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5443" cy="728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D7811" w14:textId="77777777" w:rsidR="00507C7F" w:rsidRDefault="00507C7F">
      <w:r>
        <w:separator/>
      </w:r>
    </w:p>
  </w:footnote>
  <w:footnote w:type="continuationSeparator" w:id="0">
    <w:p w14:paraId="10508BE2" w14:textId="77777777" w:rsidR="00507C7F" w:rsidRDefault="00507C7F">
      <w:r>
        <w:continuationSeparator/>
      </w:r>
    </w:p>
  </w:footnote>
  <w:footnote w:type="continuationNotice" w:id="1">
    <w:p w14:paraId="5FC04BD1" w14:textId="77777777" w:rsidR="00507C7F" w:rsidRDefault="00507C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C1B64" w14:textId="014EF043" w:rsidR="00E14872" w:rsidRDefault="00E14872">
    <w:pPr>
      <w:pStyle w:val="Zkladn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2A51" w14:textId="4C63ED84" w:rsidR="003E13D1" w:rsidRDefault="00CF269B">
    <w:pPr>
      <w:pStyle w:val="Zhlav"/>
    </w:pPr>
    <w:r>
      <w:rPr>
        <w:noProof/>
        <w:sz w:val="20"/>
      </w:rPr>
      <w:drawing>
        <wp:anchor distT="0" distB="0" distL="114300" distR="114300" simplePos="0" relativeHeight="251658241" behindDoc="1" locked="0" layoutInCell="1" allowOverlap="1" wp14:anchorId="309BBD1E" wp14:editId="5D291F8B">
          <wp:simplePos x="0" y="0"/>
          <wp:positionH relativeFrom="column">
            <wp:posOffset>1000705</wp:posOffset>
          </wp:positionH>
          <wp:positionV relativeFrom="paragraph">
            <wp:posOffset>-597535</wp:posOffset>
          </wp:positionV>
          <wp:extent cx="4663440" cy="499745"/>
          <wp:effectExtent l="0" t="0" r="3810" b="0"/>
          <wp:wrapTight wrapText="bothSides">
            <wp:wrapPolygon edited="0">
              <wp:start x="0" y="0"/>
              <wp:lineTo x="0" y="20584"/>
              <wp:lineTo x="21529" y="20584"/>
              <wp:lineTo x="21529" y="0"/>
              <wp:lineTo x="0" y="0"/>
            </wp:wrapPolygon>
          </wp:wrapTight>
          <wp:docPr id="147506771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5067716" name="Obrázek 14750677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3440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8174C"/>
    <w:multiLevelType w:val="hybridMultilevel"/>
    <w:tmpl w:val="D9A64354"/>
    <w:lvl w:ilvl="0" w:tplc="04050001">
      <w:start w:val="1"/>
      <w:numFmt w:val="bullet"/>
      <w:lvlText w:val=""/>
      <w:lvlJc w:val="left"/>
      <w:pPr>
        <w:ind w:left="2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abstractNum w:abstractNumId="1" w15:restartNumberingAfterBreak="0">
    <w:nsid w:val="1BD26D10"/>
    <w:multiLevelType w:val="hybridMultilevel"/>
    <w:tmpl w:val="9E34B296"/>
    <w:lvl w:ilvl="0" w:tplc="04050001">
      <w:start w:val="1"/>
      <w:numFmt w:val="bullet"/>
      <w:lvlText w:val=""/>
      <w:lvlJc w:val="left"/>
      <w:pPr>
        <w:ind w:left="1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</w:abstractNum>
  <w:abstractNum w:abstractNumId="2" w15:restartNumberingAfterBreak="0">
    <w:nsid w:val="25F31251"/>
    <w:multiLevelType w:val="hybridMultilevel"/>
    <w:tmpl w:val="CE52C71C"/>
    <w:lvl w:ilvl="0" w:tplc="FFCE2C52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w w:val="100"/>
        <w:sz w:val="22"/>
        <w:szCs w:val="22"/>
        <w:lang w:val="cs-CZ" w:eastAsia="cs-CZ" w:bidi="cs-CZ"/>
      </w:rPr>
    </w:lvl>
    <w:lvl w:ilvl="1" w:tplc="A3C0847E">
      <w:numFmt w:val="bullet"/>
      <w:lvlText w:val="•"/>
      <w:lvlJc w:val="left"/>
      <w:pPr>
        <w:ind w:left="1560" w:hanging="360"/>
      </w:pPr>
      <w:rPr>
        <w:rFonts w:hint="default"/>
        <w:lang w:val="cs-CZ" w:eastAsia="cs-CZ" w:bidi="cs-CZ"/>
      </w:rPr>
    </w:lvl>
    <w:lvl w:ilvl="2" w:tplc="4546DB34">
      <w:numFmt w:val="bullet"/>
      <w:lvlText w:val="•"/>
      <w:lvlJc w:val="left"/>
      <w:pPr>
        <w:ind w:left="2562" w:hanging="360"/>
      </w:pPr>
      <w:rPr>
        <w:rFonts w:hint="default"/>
        <w:lang w:val="cs-CZ" w:eastAsia="cs-CZ" w:bidi="cs-CZ"/>
      </w:rPr>
    </w:lvl>
    <w:lvl w:ilvl="3" w:tplc="DA080CD8">
      <w:numFmt w:val="bullet"/>
      <w:lvlText w:val="•"/>
      <w:lvlJc w:val="left"/>
      <w:pPr>
        <w:ind w:left="3565" w:hanging="360"/>
      </w:pPr>
      <w:rPr>
        <w:rFonts w:hint="default"/>
        <w:lang w:val="cs-CZ" w:eastAsia="cs-CZ" w:bidi="cs-CZ"/>
      </w:rPr>
    </w:lvl>
    <w:lvl w:ilvl="4" w:tplc="072ED5E4">
      <w:numFmt w:val="bullet"/>
      <w:lvlText w:val="•"/>
      <w:lvlJc w:val="left"/>
      <w:pPr>
        <w:ind w:left="4568" w:hanging="360"/>
      </w:pPr>
      <w:rPr>
        <w:rFonts w:hint="default"/>
        <w:lang w:val="cs-CZ" w:eastAsia="cs-CZ" w:bidi="cs-CZ"/>
      </w:rPr>
    </w:lvl>
    <w:lvl w:ilvl="5" w:tplc="0EB6A446">
      <w:numFmt w:val="bullet"/>
      <w:lvlText w:val="•"/>
      <w:lvlJc w:val="left"/>
      <w:pPr>
        <w:ind w:left="5571" w:hanging="360"/>
      </w:pPr>
      <w:rPr>
        <w:rFonts w:hint="default"/>
        <w:lang w:val="cs-CZ" w:eastAsia="cs-CZ" w:bidi="cs-CZ"/>
      </w:rPr>
    </w:lvl>
    <w:lvl w:ilvl="6" w:tplc="B1022D08">
      <w:numFmt w:val="bullet"/>
      <w:lvlText w:val="•"/>
      <w:lvlJc w:val="left"/>
      <w:pPr>
        <w:ind w:left="6574" w:hanging="360"/>
      </w:pPr>
      <w:rPr>
        <w:rFonts w:hint="default"/>
        <w:lang w:val="cs-CZ" w:eastAsia="cs-CZ" w:bidi="cs-CZ"/>
      </w:rPr>
    </w:lvl>
    <w:lvl w:ilvl="7" w:tplc="D3866C1C">
      <w:numFmt w:val="bullet"/>
      <w:lvlText w:val="•"/>
      <w:lvlJc w:val="left"/>
      <w:pPr>
        <w:ind w:left="7577" w:hanging="360"/>
      </w:pPr>
      <w:rPr>
        <w:rFonts w:hint="default"/>
        <w:lang w:val="cs-CZ" w:eastAsia="cs-CZ" w:bidi="cs-CZ"/>
      </w:rPr>
    </w:lvl>
    <w:lvl w:ilvl="8" w:tplc="08589904">
      <w:numFmt w:val="bullet"/>
      <w:lvlText w:val="•"/>
      <w:lvlJc w:val="left"/>
      <w:pPr>
        <w:ind w:left="8580" w:hanging="360"/>
      </w:pPr>
      <w:rPr>
        <w:rFonts w:hint="default"/>
        <w:lang w:val="cs-CZ" w:eastAsia="cs-CZ" w:bidi="cs-CZ"/>
      </w:rPr>
    </w:lvl>
  </w:abstractNum>
  <w:abstractNum w:abstractNumId="3" w15:restartNumberingAfterBreak="0">
    <w:nsid w:val="69B9238A"/>
    <w:multiLevelType w:val="hybridMultilevel"/>
    <w:tmpl w:val="5742F70A"/>
    <w:lvl w:ilvl="0" w:tplc="04050001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4" w15:restartNumberingAfterBreak="0">
    <w:nsid w:val="6C6C4B23"/>
    <w:multiLevelType w:val="hybridMultilevel"/>
    <w:tmpl w:val="5EBA9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F4C22"/>
    <w:multiLevelType w:val="hybridMultilevel"/>
    <w:tmpl w:val="7730EE3E"/>
    <w:lvl w:ilvl="0" w:tplc="895AE5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074130">
    <w:abstractNumId w:val="2"/>
  </w:num>
  <w:num w:numId="2" w16cid:durableId="887182476">
    <w:abstractNumId w:val="5"/>
  </w:num>
  <w:num w:numId="3" w16cid:durableId="481043085">
    <w:abstractNumId w:val="4"/>
  </w:num>
  <w:num w:numId="4" w16cid:durableId="444931330">
    <w:abstractNumId w:val="1"/>
  </w:num>
  <w:num w:numId="5" w16cid:durableId="2087725348">
    <w:abstractNumId w:val="0"/>
  </w:num>
  <w:num w:numId="6" w16cid:durableId="841043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72"/>
    <w:rsid w:val="0000573E"/>
    <w:rsid w:val="00005BC5"/>
    <w:rsid w:val="00010165"/>
    <w:rsid w:val="000223A7"/>
    <w:rsid w:val="00030BF8"/>
    <w:rsid w:val="00031F8F"/>
    <w:rsid w:val="00063E85"/>
    <w:rsid w:val="00084575"/>
    <w:rsid w:val="000A0D81"/>
    <w:rsid w:val="000C3A48"/>
    <w:rsid w:val="000C7F55"/>
    <w:rsid w:val="000D54CD"/>
    <w:rsid w:val="000E1272"/>
    <w:rsid w:val="000E580B"/>
    <w:rsid w:val="000E7987"/>
    <w:rsid w:val="001003A0"/>
    <w:rsid w:val="001247FC"/>
    <w:rsid w:val="00127807"/>
    <w:rsid w:val="001373B8"/>
    <w:rsid w:val="00144BA7"/>
    <w:rsid w:val="001573C9"/>
    <w:rsid w:val="00157B92"/>
    <w:rsid w:val="001618C3"/>
    <w:rsid w:val="001624BB"/>
    <w:rsid w:val="00164501"/>
    <w:rsid w:val="00174BB1"/>
    <w:rsid w:val="00175344"/>
    <w:rsid w:val="00192F2C"/>
    <w:rsid w:val="001A20AE"/>
    <w:rsid w:val="001A2483"/>
    <w:rsid w:val="001A67A7"/>
    <w:rsid w:val="001C6DE6"/>
    <w:rsid w:val="00226FBF"/>
    <w:rsid w:val="002412F8"/>
    <w:rsid w:val="00247C66"/>
    <w:rsid w:val="002509B6"/>
    <w:rsid w:val="00252704"/>
    <w:rsid w:val="002569BA"/>
    <w:rsid w:val="00261FA8"/>
    <w:rsid w:val="00262196"/>
    <w:rsid w:val="002622B2"/>
    <w:rsid w:val="00271FF0"/>
    <w:rsid w:val="00275D97"/>
    <w:rsid w:val="002929B7"/>
    <w:rsid w:val="002B1E93"/>
    <w:rsid w:val="002C522E"/>
    <w:rsid w:val="002D117E"/>
    <w:rsid w:val="002E142C"/>
    <w:rsid w:val="002E6651"/>
    <w:rsid w:val="00301425"/>
    <w:rsid w:val="00307CA9"/>
    <w:rsid w:val="00307D3D"/>
    <w:rsid w:val="003103D1"/>
    <w:rsid w:val="003154FB"/>
    <w:rsid w:val="00332216"/>
    <w:rsid w:val="003376E2"/>
    <w:rsid w:val="00350D37"/>
    <w:rsid w:val="003543B3"/>
    <w:rsid w:val="0037474C"/>
    <w:rsid w:val="00394712"/>
    <w:rsid w:val="003A021D"/>
    <w:rsid w:val="003A03D7"/>
    <w:rsid w:val="003A3B64"/>
    <w:rsid w:val="003A5488"/>
    <w:rsid w:val="003C31D1"/>
    <w:rsid w:val="003C7EEE"/>
    <w:rsid w:val="003D1394"/>
    <w:rsid w:val="003D1E1F"/>
    <w:rsid w:val="003D5219"/>
    <w:rsid w:val="003E13D1"/>
    <w:rsid w:val="003F136C"/>
    <w:rsid w:val="00407838"/>
    <w:rsid w:val="004100A7"/>
    <w:rsid w:val="004107B9"/>
    <w:rsid w:val="00413B0F"/>
    <w:rsid w:val="00415230"/>
    <w:rsid w:val="004176AA"/>
    <w:rsid w:val="00431AF8"/>
    <w:rsid w:val="004379AF"/>
    <w:rsid w:val="00441D44"/>
    <w:rsid w:val="004525B6"/>
    <w:rsid w:val="00453362"/>
    <w:rsid w:val="00453B7E"/>
    <w:rsid w:val="004545D0"/>
    <w:rsid w:val="004617B0"/>
    <w:rsid w:val="00461E3B"/>
    <w:rsid w:val="00467A52"/>
    <w:rsid w:val="00473682"/>
    <w:rsid w:val="00474336"/>
    <w:rsid w:val="00476462"/>
    <w:rsid w:val="00485191"/>
    <w:rsid w:val="00494EAC"/>
    <w:rsid w:val="004A5CE9"/>
    <w:rsid w:val="004B7F9C"/>
    <w:rsid w:val="004C3A98"/>
    <w:rsid w:val="004D49B6"/>
    <w:rsid w:val="004E1558"/>
    <w:rsid w:val="004F6CB5"/>
    <w:rsid w:val="0050506B"/>
    <w:rsid w:val="00507C7F"/>
    <w:rsid w:val="005251BC"/>
    <w:rsid w:val="005361C0"/>
    <w:rsid w:val="00537FEE"/>
    <w:rsid w:val="005474E5"/>
    <w:rsid w:val="00552064"/>
    <w:rsid w:val="005720E3"/>
    <w:rsid w:val="00573719"/>
    <w:rsid w:val="005861FA"/>
    <w:rsid w:val="0059648D"/>
    <w:rsid w:val="005A27FE"/>
    <w:rsid w:val="005A6DDB"/>
    <w:rsid w:val="005B134D"/>
    <w:rsid w:val="005B2D1C"/>
    <w:rsid w:val="005D450B"/>
    <w:rsid w:val="005D461D"/>
    <w:rsid w:val="005D5CF0"/>
    <w:rsid w:val="005E2C83"/>
    <w:rsid w:val="005F2476"/>
    <w:rsid w:val="005F4684"/>
    <w:rsid w:val="00611CCE"/>
    <w:rsid w:val="00614CB5"/>
    <w:rsid w:val="006220BD"/>
    <w:rsid w:val="00632534"/>
    <w:rsid w:val="006342B9"/>
    <w:rsid w:val="00636041"/>
    <w:rsid w:val="006410C6"/>
    <w:rsid w:val="00643283"/>
    <w:rsid w:val="00645D15"/>
    <w:rsid w:val="006544C7"/>
    <w:rsid w:val="006700D7"/>
    <w:rsid w:val="00671C04"/>
    <w:rsid w:val="00682021"/>
    <w:rsid w:val="006A4D14"/>
    <w:rsid w:val="006A6C39"/>
    <w:rsid w:val="006B07FF"/>
    <w:rsid w:val="006C0152"/>
    <w:rsid w:val="006C261B"/>
    <w:rsid w:val="006D1B22"/>
    <w:rsid w:val="006D64D9"/>
    <w:rsid w:val="006D7DB4"/>
    <w:rsid w:val="006E06E7"/>
    <w:rsid w:val="006E0D75"/>
    <w:rsid w:val="007017E8"/>
    <w:rsid w:val="00711588"/>
    <w:rsid w:val="0071195D"/>
    <w:rsid w:val="007161B8"/>
    <w:rsid w:val="00727748"/>
    <w:rsid w:val="00743289"/>
    <w:rsid w:val="00750981"/>
    <w:rsid w:val="0075664E"/>
    <w:rsid w:val="0076129E"/>
    <w:rsid w:val="007669F5"/>
    <w:rsid w:val="0076746A"/>
    <w:rsid w:val="00783CDB"/>
    <w:rsid w:val="007937B3"/>
    <w:rsid w:val="00796E8E"/>
    <w:rsid w:val="007A4717"/>
    <w:rsid w:val="007A493A"/>
    <w:rsid w:val="007B042B"/>
    <w:rsid w:val="007B4E48"/>
    <w:rsid w:val="007B729F"/>
    <w:rsid w:val="007C76C2"/>
    <w:rsid w:val="007C7A1E"/>
    <w:rsid w:val="007D6291"/>
    <w:rsid w:val="007F3922"/>
    <w:rsid w:val="007F59C6"/>
    <w:rsid w:val="00806636"/>
    <w:rsid w:val="00816E87"/>
    <w:rsid w:val="008237B2"/>
    <w:rsid w:val="00823820"/>
    <w:rsid w:val="00826E03"/>
    <w:rsid w:val="00843FA4"/>
    <w:rsid w:val="00847D2D"/>
    <w:rsid w:val="0085412F"/>
    <w:rsid w:val="008661D6"/>
    <w:rsid w:val="0087754A"/>
    <w:rsid w:val="00877A48"/>
    <w:rsid w:val="0088081B"/>
    <w:rsid w:val="0088178B"/>
    <w:rsid w:val="00883BB4"/>
    <w:rsid w:val="00890BDC"/>
    <w:rsid w:val="008B0FA5"/>
    <w:rsid w:val="008C76CE"/>
    <w:rsid w:val="008D1631"/>
    <w:rsid w:val="008D5EA8"/>
    <w:rsid w:val="008D5F21"/>
    <w:rsid w:val="008E05D7"/>
    <w:rsid w:val="008E0FDD"/>
    <w:rsid w:val="00901DE1"/>
    <w:rsid w:val="009246BE"/>
    <w:rsid w:val="0093036C"/>
    <w:rsid w:val="009544D0"/>
    <w:rsid w:val="00957B0D"/>
    <w:rsid w:val="0098799A"/>
    <w:rsid w:val="0099531B"/>
    <w:rsid w:val="009A104C"/>
    <w:rsid w:val="009A472C"/>
    <w:rsid w:val="009A4EEA"/>
    <w:rsid w:val="009B0DEF"/>
    <w:rsid w:val="009B30EF"/>
    <w:rsid w:val="009C070F"/>
    <w:rsid w:val="009C1958"/>
    <w:rsid w:val="009C3E47"/>
    <w:rsid w:val="009D5AAD"/>
    <w:rsid w:val="009D6001"/>
    <w:rsid w:val="009D6B1F"/>
    <w:rsid w:val="009E1B2A"/>
    <w:rsid w:val="009E29A1"/>
    <w:rsid w:val="009F1276"/>
    <w:rsid w:val="00A00C77"/>
    <w:rsid w:val="00A05D11"/>
    <w:rsid w:val="00A10DBD"/>
    <w:rsid w:val="00A2048C"/>
    <w:rsid w:val="00A22ADC"/>
    <w:rsid w:val="00A31EBA"/>
    <w:rsid w:val="00A36279"/>
    <w:rsid w:val="00A50A95"/>
    <w:rsid w:val="00A51323"/>
    <w:rsid w:val="00A7021E"/>
    <w:rsid w:val="00A75DAF"/>
    <w:rsid w:val="00A771DC"/>
    <w:rsid w:val="00A81328"/>
    <w:rsid w:val="00AB685F"/>
    <w:rsid w:val="00AC1463"/>
    <w:rsid w:val="00AC27E4"/>
    <w:rsid w:val="00AC4A36"/>
    <w:rsid w:val="00AD303A"/>
    <w:rsid w:val="00B0101F"/>
    <w:rsid w:val="00B023A1"/>
    <w:rsid w:val="00B05EA4"/>
    <w:rsid w:val="00B42892"/>
    <w:rsid w:val="00B45B83"/>
    <w:rsid w:val="00B7286A"/>
    <w:rsid w:val="00B80836"/>
    <w:rsid w:val="00B872FE"/>
    <w:rsid w:val="00B876DB"/>
    <w:rsid w:val="00B878D8"/>
    <w:rsid w:val="00B93701"/>
    <w:rsid w:val="00BA18D6"/>
    <w:rsid w:val="00BA53DD"/>
    <w:rsid w:val="00BB670C"/>
    <w:rsid w:val="00BC2E5C"/>
    <w:rsid w:val="00BC575C"/>
    <w:rsid w:val="00BD56D1"/>
    <w:rsid w:val="00BD6B46"/>
    <w:rsid w:val="00BE0EBA"/>
    <w:rsid w:val="00BE28AD"/>
    <w:rsid w:val="00BF22A5"/>
    <w:rsid w:val="00BF3189"/>
    <w:rsid w:val="00BF36D9"/>
    <w:rsid w:val="00BF5F01"/>
    <w:rsid w:val="00C004FB"/>
    <w:rsid w:val="00C01537"/>
    <w:rsid w:val="00C11A7A"/>
    <w:rsid w:val="00C14AD2"/>
    <w:rsid w:val="00C154DF"/>
    <w:rsid w:val="00C20ED6"/>
    <w:rsid w:val="00C26AF6"/>
    <w:rsid w:val="00C356CC"/>
    <w:rsid w:val="00C41F9D"/>
    <w:rsid w:val="00C52E06"/>
    <w:rsid w:val="00C674D4"/>
    <w:rsid w:val="00C7027C"/>
    <w:rsid w:val="00C735E7"/>
    <w:rsid w:val="00C7537E"/>
    <w:rsid w:val="00C9586E"/>
    <w:rsid w:val="00CA28AF"/>
    <w:rsid w:val="00CA3FE9"/>
    <w:rsid w:val="00CA7D1A"/>
    <w:rsid w:val="00CC3316"/>
    <w:rsid w:val="00CD7078"/>
    <w:rsid w:val="00CE4070"/>
    <w:rsid w:val="00CE5D63"/>
    <w:rsid w:val="00CE6A43"/>
    <w:rsid w:val="00CF269B"/>
    <w:rsid w:val="00D00F55"/>
    <w:rsid w:val="00D00FED"/>
    <w:rsid w:val="00D1036A"/>
    <w:rsid w:val="00D21792"/>
    <w:rsid w:val="00D23318"/>
    <w:rsid w:val="00D314EC"/>
    <w:rsid w:val="00D32278"/>
    <w:rsid w:val="00D33744"/>
    <w:rsid w:val="00D36ACD"/>
    <w:rsid w:val="00D53D9C"/>
    <w:rsid w:val="00D608C6"/>
    <w:rsid w:val="00D61562"/>
    <w:rsid w:val="00D64B6C"/>
    <w:rsid w:val="00D71314"/>
    <w:rsid w:val="00D72417"/>
    <w:rsid w:val="00D75D04"/>
    <w:rsid w:val="00D77D10"/>
    <w:rsid w:val="00D808BF"/>
    <w:rsid w:val="00D839CB"/>
    <w:rsid w:val="00D870CC"/>
    <w:rsid w:val="00D8765C"/>
    <w:rsid w:val="00D92873"/>
    <w:rsid w:val="00D93585"/>
    <w:rsid w:val="00D93EA7"/>
    <w:rsid w:val="00DA1FA6"/>
    <w:rsid w:val="00DA49B7"/>
    <w:rsid w:val="00DA73A5"/>
    <w:rsid w:val="00DB4BB6"/>
    <w:rsid w:val="00DB50A4"/>
    <w:rsid w:val="00DC1819"/>
    <w:rsid w:val="00DC2202"/>
    <w:rsid w:val="00DC420B"/>
    <w:rsid w:val="00DC57E1"/>
    <w:rsid w:val="00DD27E0"/>
    <w:rsid w:val="00DD3AD9"/>
    <w:rsid w:val="00E0504B"/>
    <w:rsid w:val="00E14872"/>
    <w:rsid w:val="00E15989"/>
    <w:rsid w:val="00E17CAF"/>
    <w:rsid w:val="00E35386"/>
    <w:rsid w:val="00E4268E"/>
    <w:rsid w:val="00E462D6"/>
    <w:rsid w:val="00E5352F"/>
    <w:rsid w:val="00E55479"/>
    <w:rsid w:val="00E65FC0"/>
    <w:rsid w:val="00E74B39"/>
    <w:rsid w:val="00E7707A"/>
    <w:rsid w:val="00EB39E6"/>
    <w:rsid w:val="00EC3BA9"/>
    <w:rsid w:val="00EE3CDE"/>
    <w:rsid w:val="00EF25D8"/>
    <w:rsid w:val="00F030D8"/>
    <w:rsid w:val="00F158A6"/>
    <w:rsid w:val="00F343B4"/>
    <w:rsid w:val="00F4074B"/>
    <w:rsid w:val="00F43316"/>
    <w:rsid w:val="00F50363"/>
    <w:rsid w:val="00F5242C"/>
    <w:rsid w:val="00F65489"/>
    <w:rsid w:val="00F93CB2"/>
    <w:rsid w:val="00F93F2D"/>
    <w:rsid w:val="00F96C3A"/>
    <w:rsid w:val="00FB4420"/>
    <w:rsid w:val="00FC38A1"/>
    <w:rsid w:val="00FC7DC8"/>
    <w:rsid w:val="00FD3BA9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C1AF9"/>
  <w15:docId w15:val="{510FB594-06A6-4075-9388-B9F6AB8E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Open Sans" w:eastAsia="Open Sans" w:hAnsi="Open Sans" w:cs="Open Sans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34"/>
    <w:qFormat/>
    <w:pPr>
      <w:ind w:left="1396" w:right="900" w:hanging="360"/>
    </w:pPr>
  </w:style>
  <w:style w:type="paragraph" w:customStyle="1" w:styleId="TableParagraph">
    <w:name w:val="Table Paragraph"/>
    <w:basedOn w:val="Normln"/>
    <w:uiPriority w:val="1"/>
    <w:qFormat/>
    <w:pPr>
      <w:ind w:left="96"/>
      <w:jc w:val="center"/>
    </w:pPr>
  </w:style>
  <w:style w:type="paragraph" w:styleId="Zhlav">
    <w:name w:val="header"/>
    <w:basedOn w:val="Normln"/>
    <w:link w:val="ZhlavChar"/>
    <w:uiPriority w:val="99"/>
    <w:unhideWhenUsed/>
    <w:rsid w:val="00431A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1AF8"/>
    <w:rPr>
      <w:rFonts w:ascii="Open Sans" w:eastAsia="Open Sans" w:hAnsi="Open Sans" w:cs="Open Sans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431A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31AF8"/>
    <w:rPr>
      <w:rFonts w:ascii="Open Sans" w:eastAsia="Open Sans" w:hAnsi="Open Sans" w:cs="Open Sans"/>
      <w:lang w:val="cs-CZ" w:eastAsia="cs-CZ" w:bidi="cs-CZ"/>
    </w:rPr>
  </w:style>
  <w:style w:type="table" w:customStyle="1" w:styleId="TableNormal1">
    <w:name w:val="Table Normal1"/>
    <w:uiPriority w:val="2"/>
    <w:semiHidden/>
    <w:unhideWhenUsed/>
    <w:qFormat/>
    <w:rsid w:val="004736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7B729F"/>
    <w:pPr>
      <w:widowControl/>
      <w:autoSpaceDE/>
      <w:autoSpaceDN/>
    </w:pPr>
    <w:rPr>
      <w:rFonts w:ascii="Open Sans" w:eastAsia="Open Sans" w:hAnsi="Open Sans" w:cs="Open Sans"/>
      <w:lang w:val="cs-CZ" w:eastAsia="cs-CZ" w:bidi="cs-CZ"/>
    </w:rPr>
  </w:style>
  <w:style w:type="character" w:styleId="Hypertextovodkaz">
    <w:name w:val="Hyperlink"/>
    <w:basedOn w:val="Standardnpsmoodstavce"/>
    <w:uiPriority w:val="99"/>
    <w:unhideWhenUsed/>
    <w:rsid w:val="0047433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74336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41D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41D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1D44"/>
    <w:rPr>
      <w:rFonts w:ascii="Open Sans" w:eastAsia="Open Sans" w:hAnsi="Open Sans" w:cs="Open Sans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D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D44"/>
    <w:rPr>
      <w:rFonts w:ascii="Open Sans" w:eastAsia="Open Sans" w:hAnsi="Open Sans" w:cs="Open Sans"/>
      <w:b/>
      <w:bCs/>
      <w:sz w:val="20"/>
      <w:szCs w:val="20"/>
      <w:lang w:val="cs-CZ" w:eastAsia="cs-CZ" w:bidi="cs-CZ"/>
    </w:rPr>
  </w:style>
  <w:style w:type="character" w:styleId="Sledovanodkaz">
    <w:name w:val="FollowedHyperlink"/>
    <w:basedOn w:val="Standardnpsmoodstavce"/>
    <w:uiPriority w:val="99"/>
    <w:semiHidden/>
    <w:unhideWhenUsed/>
    <w:rsid w:val="00A05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opass.cz/co-je-europass/doklad-o-stazi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MediaLengthInSeconds xmlns="44ce72be-cbd2-4b18-85a3-eab52da82d8c" xsi:nil="true"/>
    <SharedWithUsers xmlns="2353064d-4804-4b30-8585-7b17d0b04a58">
      <UserInfo>
        <DisplayName/>
        <AccountId xsi:nil="true"/>
        <AccountType/>
      </UserInfo>
    </SharedWithUsers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A3F69E-FF9B-4EEF-80D4-8211BE4C76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9D012-3266-48FB-9FDF-202C6F075498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17EAD9-B2A2-41AE-837D-2B0485586E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870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Links>
    <vt:vector size="6" baseType="variant">
      <vt:variant>
        <vt:i4>1376266</vt:i4>
      </vt:variant>
      <vt:variant>
        <vt:i4>0</vt:i4>
      </vt:variant>
      <vt:variant>
        <vt:i4>0</vt:i4>
      </vt:variant>
      <vt:variant>
        <vt:i4>5</vt:i4>
      </vt:variant>
      <vt:variant>
        <vt:lpwstr>https://europass.cz/co-je-europass/doklad-o-stazi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Janusová Zuzana</cp:lastModifiedBy>
  <cp:revision>9</cp:revision>
  <dcterms:created xsi:type="dcterms:W3CDTF">2025-05-23T10:19:00Z</dcterms:created>
  <dcterms:modified xsi:type="dcterms:W3CDTF">2025-05-29T12:53:00Z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2021-11-22T00:00:00Z</vt:filetime>
  </property>
  <property fmtid="{D5CDD505-2E9C-101B-9397-08002B2CF9AE}" pid="5" name="ContentTypeId">
    <vt:lpwstr>0x010100113A9852C86F384AB7CAE93007978A34</vt:lpwstr>
  </property>
  <property fmtid="{D5CDD505-2E9C-101B-9397-08002B2CF9AE}" pid="6" name="Order">
    <vt:r8>952200</vt:r8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