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73E" w:rsidRPr="00BF673E" w:rsidRDefault="00BF673E" w:rsidP="00BF673E">
      <w:pPr>
        <w:spacing w:before="100" w:beforeAutospacing="1" w:after="100" w:afterAutospacing="1"/>
        <w:outlineLvl w:val="1"/>
        <w:rPr>
          <w:b/>
          <w:bCs/>
          <w:sz w:val="36"/>
          <w:szCs w:val="36"/>
        </w:rPr>
      </w:pPr>
      <w:r w:rsidRPr="00BF673E">
        <w:rPr>
          <w:b/>
          <w:bCs/>
          <w:sz w:val="36"/>
          <w:szCs w:val="36"/>
        </w:rPr>
        <w:t>Informace o podpoře odborných exkurzí pro studenty</w:t>
      </w:r>
    </w:p>
    <w:tbl>
      <w:tblPr>
        <w:tblW w:w="4750" w:type="pct"/>
        <w:tblCellSpacing w:w="75" w:type="dxa"/>
        <w:tblCellMar>
          <w:top w:w="15" w:type="dxa"/>
          <w:left w:w="15" w:type="dxa"/>
          <w:bottom w:w="15" w:type="dxa"/>
          <w:right w:w="15" w:type="dxa"/>
        </w:tblCellMar>
        <w:tblLook w:val="04A0" w:firstRow="1" w:lastRow="0" w:firstColumn="1" w:lastColumn="0" w:noHBand="0" w:noVBand="1"/>
      </w:tblPr>
      <w:tblGrid>
        <w:gridCol w:w="1415"/>
        <w:gridCol w:w="7203"/>
      </w:tblGrid>
      <w:tr w:rsidR="00BF673E" w:rsidRPr="00BF673E" w:rsidTr="00BF673E">
        <w:trPr>
          <w:tblCellSpacing w:w="75" w:type="dxa"/>
        </w:trPr>
        <w:tc>
          <w:tcPr>
            <w:tcW w:w="700" w:type="pct"/>
            <w:hideMark/>
          </w:tcPr>
          <w:p w:rsidR="00BF673E" w:rsidRPr="00BF673E" w:rsidRDefault="00BF673E" w:rsidP="00BF673E">
            <w:pPr>
              <w:spacing w:before="100" w:beforeAutospacing="1" w:after="100" w:afterAutospacing="1"/>
              <w:rPr>
                <w:szCs w:val="24"/>
              </w:rPr>
            </w:pPr>
            <w:r w:rsidRPr="00BF673E">
              <w:rPr>
                <w:b/>
                <w:bCs/>
                <w:szCs w:val="24"/>
              </w:rPr>
              <w:t>Co</w:t>
            </w:r>
            <w:r w:rsidRPr="00BF673E">
              <w:rPr>
                <w:szCs w:val="24"/>
              </w:rPr>
              <w:t>:</w:t>
            </w:r>
          </w:p>
        </w:tc>
        <w:tc>
          <w:tcPr>
            <w:tcW w:w="4300" w:type="pct"/>
            <w:vAlign w:val="center"/>
            <w:hideMark/>
          </w:tcPr>
          <w:p w:rsidR="00BF673E" w:rsidRPr="00BF673E" w:rsidRDefault="00BF673E" w:rsidP="00BF673E">
            <w:pPr>
              <w:spacing w:before="100" w:beforeAutospacing="1" w:after="100" w:afterAutospacing="1"/>
              <w:rPr>
                <w:szCs w:val="24"/>
              </w:rPr>
            </w:pPr>
            <w:r w:rsidRPr="00BF673E">
              <w:rPr>
                <w:szCs w:val="24"/>
              </w:rPr>
              <w:t>Podporují se</w:t>
            </w:r>
            <w:r w:rsidRPr="00BF673E">
              <w:rPr>
                <w:b/>
                <w:bCs/>
                <w:szCs w:val="24"/>
              </w:rPr>
              <w:t xml:space="preserve"> exkurze s vědeckým programem</w:t>
            </w:r>
            <w:r w:rsidRPr="00BF673E">
              <w:rPr>
                <w:szCs w:val="24"/>
              </w:rPr>
              <w:t>. Vědecké zaměření exkurze bude zajištěno uvedením jednoho či více univerzitních pracovišť cílové země, která se budou podílet na plánování a uskutečnění exkurze. Studenti hostitelské univerzity se musejí zúčastnit alespoň části vědeckého a pedagogického programu exkurze.</w:t>
            </w:r>
          </w:p>
          <w:p w:rsidR="00BF673E" w:rsidRPr="00BF673E" w:rsidRDefault="00BF673E" w:rsidP="00BF673E">
            <w:pPr>
              <w:spacing w:before="100" w:beforeAutospacing="1" w:after="100" w:afterAutospacing="1"/>
              <w:rPr>
                <w:szCs w:val="24"/>
              </w:rPr>
            </w:pPr>
            <w:r w:rsidRPr="00BF673E">
              <w:rPr>
                <w:szCs w:val="24"/>
              </w:rPr>
              <w:t>Pro každý den exkurze je třeba sestavit podrobný vědecký program. Účastníci exkurze mají být během svého pobytu doprovázeni min. jedním pracovníkem univerzitních pracovišť příslušných oborů. Také při návštěvách ostatních vědeckých institucí (</w:t>
            </w:r>
            <w:r w:rsidRPr="00BF673E">
              <w:rPr>
                <w:i/>
                <w:iCs/>
                <w:szCs w:val="24"/>
              </w:rPr>
              <w:t>knihovny, archívy apod.</w:t>
            </w:r>
            <w:r w:rsidRPr="00BF673E">
              <w:rPr>
                <w:szCs w:val="24"/>
              </w:rPr>
              <w:t>) je třeba uvést kontaktní kompetentní osobu.</w:t>
            </w:r>
          </w:p>
        </w:tc>
      </w:tr>
      <w:tr w:rsidR="00BF673E" w:rsidRPr="00BF673E" w:rsidTr="00BF673E">
        <w:trPr>
          <w:tblCellSpacing w:w="75" w:type="dxa"/>
        </w:trPr>
        <w:tc>
          <w:tcPr>
            <w:tcW w:w="700" w:type="pct"/>
            <w:hideMark/>
          </w:tcPr>
          <w:p w:rsidR="00BF673E" w:rsidRPr="00BF673E" w:rsidRDefault="00BF673E" w:rsidP="00BF673E">
            <w:pPr>
              <w:spacing w:before="100" w:beforeAutospacing="1" w:after="100" w:afterAutospacing="1"/>
              <w:rPr>
                <w:szCs w:val="24"/>
              </w:rPr>
            </w:pPr>
            <w:r w:rsidRPr="00BF673E">
              <w:rPr>
                <w:b/>
                <w:bCs/>
                <w:szCs w:val="24"/>
              </w:rPr>
              <w:t>Kdo:</w:t>
            </w:r>
          </w:p>
        </w:tc>
        <w:tc>
          <w:tcPr>
            <w:tcW w:w="4300" w:type="pct"/>
            <w:vAlign w:val="center"/>
            <w:hideMark/>
          </w:tcPr>
          <w:p w:rsidR="00BF673E" w:rsidRPr="00BF673E" w:rsidRDefault="00BF673E" w:rsidP="00BF673E">
            <w:pPr>
              <w:spacing w:before="100" w:beforeAutospacing="1" w:after="100" w:afterAutospacing="1"/>
              <w:rPr>
                <w:szCs w:val="24"/>
              </w:rPr>
            </w:pPr>
            <w:r w:rsidRPr="00BF673E">
              <w:rPr>
                <w:szCs w:val="24"/>
              </w:rPr>
              <w:t xml:space="preserve">Podpora se poskytuje pouze studentským účastníkům exkurzí </w:t>
            </w:r>
            <w:r w:rsidR="00D43C2E">
              <w:rPr>
                <w:szCs w:val="24"/>
              </w:rPr>
              <w:br/>
            </w:r>
            <w:r w:rsidRPr="00BF673E">
              <w:rPr>
                <w:szCs w:val="24"/>
              </w:rPr>
              <w:t>a maximálně dvěma doprovázejícím osobám.</w:t>
            </w:r>
          </w:p>
        </w:tc>
      </w:tr>
      <w:tr w:rsidR="00BF673E" w:rsidRPr="00BF673E" w:rsidTr="00BF673E">
        <w:trPr>
          <w:tblCellSpacing w:w="75" w:type="dxa"/>
        </w:trPr>
        <w:tc>
          <w:tcPr>
            <w:tcW w:w="700" w:type="pct"/>
            <w:hideMark/>
          </w:tcPr>
          <w:p w:rsidR="00BF673E" w:rsidRPr="00BF673E" w:rsidRDefault="00BF673E" w:rsidP="00BF673E">
            <w:pPr>
              <w:spacing w:before="100" w:beforeAutospacing="1" w:after="100" w:afterAutospacing="1"/>
              <w:rPr>
                <w:szCs w:val="24"/>
              </w:rPr>
            </w:pPr>
            <w:r w:rsidRPr="00BF673E">
              <w:rPr>
                <w:b/>
                <w:bCs/>
                <w:szCs w:val="24"/>
              </w:rPr>
              <w:t>Jak dlouho:</w:t>
            </w:r>
          </w:p>
        </w:tc>
        <w:tc>
          <w:tcPr>
            <w:tcW w:w="4300" w:type="pct"/>
            <w:vAlign w:val="bottom"/>
            <w:hideMark/>
          </w:tcPr>
          <w:p w:rsidR="00BF673E" w:rsidRPr="00BF673E" w:rsidRDefault="00BF673E" w:rsidP="00BF673E">
            <w:pPr>
              <w:spacing w:before="100" w:beforeAutospacing="1" w:after="100" w:afterAutospacing="1"/>
              <w:rPr>
                <w:szCs w:val="24"/>
              </w:rPr>
            </w:pPr>
            <w:r w:rsidRPr="00BF673E">
              <w:rPr>
                <w:szCs w:val="24"/>
              </w:rPr>
              <w:t>Maximální délka exkurze činí 10 dní.</w:t>
            </w:r>
          </w:p>
        </w:tc>
      </w:tr>
      <w:tr w:rsidR="00BF673E" w:rsidRPr="00BF673E" w:rsidTr="00BF673E">
        <w:trPr>
          <w:tblCellSpacing w:w="75" w:type="dxa"/>
        </w:trPr>
        <w:tc>
          <w:tcPr>
            <w:tcW w:w="700" w:type="pct"/>
            <w:hideMark/>
          </w:tcPr>
          <w:p w:rsidR="00BF673E" w:rsidRPr="00BF673E" w:rsidRDefault="00BF673E" w:rsidP="00BF673E">
            <w:pPr>
              <w:spacing w:before="100" w:beforeAutospacing="1" w:after="100" w:afterAutospacing="1"/>
              <w:rPr>
                <w:szCs w:val="24"/>
              </w:rPr>
            </w:pPr>
            <w:r w:rsidRPr="00BF673E">
              <w:rPr>
                <w:b/>
                <w:bCs/>
                <w:szCs w:val="24"/>
              </w:rPr>
              <w:t>Kolik:</w:t>
            </w:r>
          </w:p>
        </w:tc>
        <w:tc>
          <w:tcPr>
            <w:tcW w:w="4300" w:type="pct"/>
            <w:vAlign w:val="center"/>
            <w:hideMark/>
          </w:tcPr>
          <w:p w:rsidR="00BF673E" w:rsidRPr="00BF673E" w:rsidRDefault="00BF673E" w:rsidP="00BF673E">
            <w:pPr>
              <w:spacing w:before="100" w:beforeAutospacing="1" w:after="100" w:afterAutospacing="1"/>
              <w:rPr>
                <w:szCs w:val="24"/>
              </w:rPr>
            </w:pPr>
            <w:r w:rsidRPr="00BF673E">
              <w:rPr>
                <w:b/>
                <w:bCs/>
                <w:szCs w:val="24"/>
              </w:rPr>
              <w:t>Exkurze do Rakouska</w:t>
            </w:r>
            <w:r w:rsidRPr="00BF673E">
              <w:rPr>
                <w:szCs w:val="24"/>
              </w:rPr>
              <w:t>:</w:t>
            </w:r>
            <w:r w:rsidRPr="00BF673E">
              <w:rPr>
                <w:szCs w:val="24"/>
              </w:rPr>
              <w:br/>
              <w:t>max. podpora na osobu a den je 45 € (včetně ubytování),</w:t>
            </w:r>
            <w:r w:rsidRPr="00BF673E">
              <w:rPr>
                <w:szCs w:val="24"/>
              </w:rPr>
              <w:br/>
              <w:t xml:space="preserve">celková maximální podpora jedné exkurze v Rakousku je 5.000 € </w:t>
            </w:r>
            <w:r w:rsidR="00D43C2E">
              <w:rPr>
                <w:szCs w:val="24"/>
              </w:rPr>
              <w:br/>
            </w:r>
            <w:r w:rsidRPr="00BF673E">
              <w:rPr>
                <w:szCs w:val="24"/>
              </w:rPr>
              <w:t>(</w:t>
            </w:r>
            <w:r w:rsidRPr="00BF673E">
              <w:rPr>
                <w:i/>
                <w:iCs/>
                <w:szCs w:val="24"/>
              </w:rPr>
              <w:t>k tomu cestovné v korunách)</w:t>
            </w:r>
          </w:p>
          <w:p w:rsidR="00BF673E" w:rsidRPr="00BF673E" w:rsidRDefault="00BF673E" w:rsidP="00BF673E">
            <w:pPr>
              <w:spacing w:before="100" w:beforeAutospacing="1" w:after="100" w:afterAutospacing="1"/>
              <w:rPr>
                <w:szCs w:val="24"/>
              </w:rPr>
            </w:pPr>
            <w:r w:rsidRPr="00BF673E">
              <w:rPr>
                <w:b/>
                <w:bCs/>
                <w:szCs w:val="24"/>
              </w:rPr>
              <w:t>Exkurze do České republiky:</w:t>
            </w:r>
            <w:r w:rsidRPr="00BF673E">
              <w:rPr>
                <w:szCs w:val="24"/>
              </w:rPr>
              <w:t xml:space="preserve"> </w:t>
            </w:r>
            <w:r w:rsidRPr="00BF673E">
              <w:rPr>
                <w:szCs w:val="24"/>
              </w:rPr>
              <w:br/>
              <w:t>max. částka na ubytování je 700 Kč/osobu a noc</w:t>
            </w:r>
            <w:r w:rsidRPr="00BF673E">
              <w:rPr>
                <w:szCs w:val="24"/>
              </w:rPr>
              <w:br/>
              <w:t xml:space="preserve">max. částka na stravování je </w:t>
            </w:r>
            <w:r w:rsidR="00D43C2E">
              <w:rPr>
                <w:szCs w:val="24"/>
              </w:rPr>
              <w:t>4</w:t>
            </w:r>
            <w:r w:rsidRPr="00BF673E">
              <w:rPr>
                <w:szCs w:val="24"/>
              </w:rPr>
              <w:t>00 Kč/osobu a den (</w:t>
            </w:r>
            <w:r w:rsidRPr="00BF673E">
              <w:rPr>
                <w:i/>
                <w:iCs/>
                <w:szCs w:val="24"/>
              </w:rPr>
              <w:t xml:space="preserve">k tomu cestovné </w:t>
            </w:r>
            <w:r w:rsidR="00D43C2E">
              <w:rPr>
                <w:i/>
                <w:iCs/>
                <w:szCs w:val="24"/>
              </w:rPr>
              <w:br/>
            </w:r>
            <w:bookmarkStart w:id="0" w:name="_GoBack"/>
            <w:bookmarkEnd w:id="0"/>
            <w:r w:rsidRPr="00BF673E">
              <w:rPr>
                <w:i/>
                <w:iCs/>
                <w:szCs w:val="24"/>
              </w:rPr>
              <w:t>v eurech</w:t>
            </w:r>
            <w:r w:rsidRPr="00BF673E">
              <w:rPr>
                <w:szCs w:val="24"/>
              </w:rPr>
              <w:t>)</w:t>
            </w:r>
            <w:r w:rsidRPr="00BF673E">
              <w:rPr>
                <w:szCs w:val="24"/>
              </w:rPr>
              <w:br/>
              <w:t>Poskytuje se dotace na ubytování a stravování v přiměřené výši (</w:t>
            </w:r>
            <w:r w:rsidRPr="00BF673E">
              <w:rPr>
                <w:i/>
                <w:iCs/>
                <w:szCs w:val="24"/>
              </w:rPr>
              <w:t>ubytování ve vysokoškolských kolejích, stravování v menzách či podobných zařízeních</w:t>
            </w:r>
            <w:r w:rsidRPr="00BF673E">
              <w:rPr>
                <w:szCs w:val="24"/>
              </w:rPr>
              <w:t>).</w:t>
            </w:r>
          </w:p>
          <w:p w:rsidR="00BF673E" w:rsidRPr="00BF673E" w:rsidRDefault="00BF673E" w:rsidP="00BF673E">
            <w:pPr>
              <w:spacing w:before="100" w:beforeAutospacing="1" w:after="100" w:afterAutospacing="1"/>
              <w:rPr>
                <w:szCs w:val="24"/>
              </w:rPr>
            </w:pPr>
            <w:r w:rsidRPr="00BF673E">
              <w:rPr>
                <w:szCs w:val="24"/>
              </w:rPr>
              <w:t xml:space="preserve">V žádosti musí být uveden počet účastníků a počet pobytových dní včetně dnů příjezdu a odjezdu. </w:t>
            </w:r>
            <w:r w:rsidRPr="00BF673E">
              <w:rPr>
                <w:szCs w:val="24"/>
              </w:rPr>
              <w:br/>
              <w:t xml:space="preserve">Při exkurzích je požadován </w:t>
            </w:r>
            <w:r w:rsidRPr="00BF673E">
              <w:rPr>
                <w:b/>
                <w:bCs/>
                <w:szCs w:val="24"/>
              </w:rPr>
              <w:t>podíl studentů</w:t>
            </w:r>
            <w:r w:rsidRPr="00BF673E">
              <w:rPr>
                <w:szCs w:val="24"/>
              </w:rPr>
              <w:t xml:space="preserve"> na nákladech na dopravu minimálně </w:t>
            </w:r>
            <w:r w:rsidRPr="00BF673E">
              <w:rPr>
                <w:b/>
                <w:bCs/>
                <w:szCs w:val="24"/>
              </w:rPr>
              <w:t>ve výši 30 %.</w:t>
            </w:r>
          </w:p>
        </w:tc>
      </w:tr>
      <w:tr w:rsidR="00BF673E" w:rsidRPr="00BF673E" w:rsidTr="00BF673E">
        <w:trPr>
          <w:tblCellSpacing w:w="75" w:type="dxa"/>
        </w:trPr>
        <w:tc>
          <w:tcPr>
            <w:tcW w:w="700" w:type="pct"/>
            <w:hideMark/>
          </w:tcPr>
          <w:p w:rsidR="00BF673E" w:rsidRPr="00BF673E" w:rsidRDefault="00BF673E" w:rsidP="00BF673E">
            <w:pPr>
              <w:spacing w:before="100" w:beforeAutospacing="1" w:after="100" w:afterAutospacing="1"/>
              <w:rPr>
                <w:szCs w:val="24"/>
              </w:rPr>
            </w:pPr>
            <w:r w:rsidRPr="00BF673E">
              <w:rPr>
                <w:b/>
                <w:bCs/>
                <w:szCs w:val="24"/>
              </w:rPr>
              <w:t>Kde:</w:t>
            </w:r>
          </w:p>
          <w:p w:rsidR="00BF673E" w:rsidRPr="00BF673E" w:rsidRDefault="00BF673E" w:rsidP="00BF673E">
            <w:pPr>
              <w:spacing w:before="100" w:beforeAutospacing="1" w:after="100" w:afterAutospacing="1"/>
              <w:rPr>
                <w:szCs w:val="24"/>
              </w:rPr>
            </w:pPr>
            <w:r w:rsidRPr="00BF673E">
              <w:rPr>
                <w:szCs w:val="24"/>
              </w:rPr>
              <w:t> </w:t>
            </w:r>
          </w:p>
          <w:p w:rsidR="00BF673E" w:rsidRPr="00BF673E" w:rsidRDefault="00BF673E" w:rsidP="00BF673E">
            <w:pPr>
              <w:spacing w:before="100" w:beforeAutospacing="1" w:after="100" w:afterAutospacing="1"/>
              <w:rPr>
                <w:szCs w:val="24"/>
              </w:rPr>
            </w:pPr>
            <w:r w:rsidRPr="00BF673E">
              <w:rPr>
                <w:szCs w:val="24"/>
              </w:rPr>
              <w:t> </w:t>
            </w:r>
          </w:p>
          <w:p w:rsidR="00BF673E" w:rsidRPr="00BF673E" w:rsidRDefault="00BF673E" w:rsidP="00BF673E">
            <w:pPr>
              <w:spacing w:before="100" w:beforeAutospacing="1" w:after="100" w:afterAutospacing="1"/>
              <w:rPr>
                <w:szCs w:val="24"/>
              </w:rPr>
            </w:pPr>
            <w:r w:rsidRPr="00BF673E">
              <w:rPr>
                <w:b/>
                <w:bCs/>
                <w:szCs w:val="24"/>
              </w:rPr>
              <w:br/>
              <w:t>Termíny</w:t>
            </w:r>
            <w:r w:rsidRPr="00BF673E">
              <w:rPr>
                <w:szCs w:val="24"/>
              </w:rPr>
              <w:t>:</w:t>
            </w:r>
          </w:p>
        </w:tc>
        <w:tc>
          <w:tcPr>
            <w:tcW w:w="4300" w:type="pct"/>
            <w:vAlign w:val="center"/>
            <w:hideMark/>
          </w:tcPr>
          <w:p w:rsidR="00BF673E" w:rsidRPr="00BF673E" w:rsidRDefault="00BF673E" w:rsidP="00BF673E">
            <w:pPr>
              <w:spacing w:before="100" w:beforeAutospacing="1" w:after="100" w:afterAutospacing="1"/>
              <w:rPr>
                <w:szCs w:val="24"/>
              </w:rPr>
            </w:pPr>
            <w:r w:rsidRPr="00BF673E">
              <w:rPr>
                <w:szCs w:val="24"/>
              </w:rPr>
              <w:t>Žádosti se podávají pouze u Jednatelství programu AKTION ČR - Rakousko v Praze na formuláři „</w:t>
            </w:r>
            <w:hyperlink r:id="rId4" w:tooltip="AKTION-formulář-návrh projektu-Projektantrag-2016-17.doc" w:history="1">
              <w:r w:rsidRPr="00BF673E">
                <w:rPr>
                  <w:b/>
                  <w:bCs/>
                  <w:color w:val="0000FF"/>
                  <w:szCs w:val="24"/>
                  <w:u w:val="single"/>
                </w:rPr>
                <w:t>Návrh projektu</w:t>
              </w:r>
            </w:hyperlink>
            <w:r w:rsidRPr="00BF673E">
              <w:rPr>
                <w:szCs w:val="24"/>
              </w:rPr>
              <w:t>“ :</w:t>
            </w:r>
            <w:r w:rsidRPr="00BF673E">
              <w:rPr>
                <w:szCs w:val="24"/>
              </w:rPr>
              <w:br/>
            </w:r>
            <w:r w:rsidRPr="00BF673E">
              <w:rPr>
                <w:b/>
                <w:bCs/>
                <w:szCs w:val="24"/>
              </w:rPr>
              <w:t xml:space="preserve">DZS - AKTION, Na Poříčí 1035/4, 110 00 Praha 1. </w:t>
            </w:r>
            <w:r w:rsidRPr="00BF673E">
              <w:rPr>
                <w:b/>
                <w:bCs/>
                <w:szCs w:val="24"/>
              </w:rPr>
              <w:br/>
            </w:r>
            <w:r w:rsidRPr="00BF673E">
              <w:rPr>
                <w:b/>
                <w:bCs/>
                <w:szCs w:val="24"/>
              </w:rPr>
              <w:br/>
            </w:r>
            <w:r w:rsidRPr="00BF673E">
              <w:rPr>
                <w:szCs w:val="24"/>
              </w:rPr>
              <w:t>Pro podávání návrhů projektů platí tyto směrnice:</w:t>
            </w:r>
            <w:r w:rsidRPr="00BF673E">
              <w:rPr>
                <w:szCs w:val="24"/>
              </w:rPr>
              <w:br/>
            </w:r>
            <w:hyperlink r:id="rId5" w:history="1">
              <w:r w:rsidRPr="00BF673E">
                <w:rPr>
                  <w:i/>
                  <w:iCs/>
                  <w:color w:val="0000FF"/>
                  <w:szCs w:val="24"/>
                  <w:u w:val="single"/>
                </w:rPr>
                <w:t>Pokyny pro sestavení návrhů projektů, včetně jejich financování a ukončení</w:t>
              </w:r>
            </w:hyperlink>
            <w:r w:rsidRPr="00BF673E">
              <w:rPr>
                <w:szCs w:val="24"/>
              </w:rPr>
              <w:t xml:space="preserve"> , body 5. a 6..</w:t>
            </w:r>
          </w:p>
          <w:p w:rsidR="00BF673E" w:rsidRPr="00BF673E" w:rsidRDefault="00BF673E" w:rsidP="00BF673E">
            <w:pPr>
              <w:spacing w:before="100" w:beforeAutospacing="1" w:after="100" w:afterAutospacing="1"/>
              <w:rPr>
                <w:szCs w:val="24"/>
              </w:rPr>
            </w:pPr>
            <w:r w:rsidRPr="00BF673E">
              <w:rPr>
                <w:b/>
                <w:bCs/>
                <w:color w:val="000000"/>
                <w:szCs w:val="24"/>
              </w:rPr>
              <w:t>15. dubna, 15. září a 3</w:t>
            </w:r>
            <w:r w:rsidR="00415009">
              <w:rPr>
                <w:b/>
                <w:bCs/>
                <w:color w:val="000000"/>
                <w:szCs w:val="24"/>
              </w:rPr>
              <w:t>1</w:t>
            </w:r>
            <w:r w:rsidRPr="00BF673E">
              <w:rPr>
                <w:b/>
                <w:bCs/>
                <w:color w:val="000000"/>
                <w:szCs w:val="24"/>
              </w:rPr>
              <w:t xml:space="preserve">. </w:t>
            </w:r>
            <w:r w:rsidR="00415009">
              <w:rPr>
                <w:b/>
                <w:bCs/>
                <w:color w:val="000000"/>
                <w:szCs w:val="24"/>
              </w:rPr>
              <w:t>října</w:t>
            </w:r>
            <w:r w:rsidRPr="00BF673E">
              <w:rPr>
                <w:color w:val="000000"/>
                <w:szCs w:val="24"/>
              </w:rPr>
              <w:br/>
            </w:r>
            <w:r w:rsidRPr="00BF673E">
              <w:rPr>
                <w:color w:val="000000"/>
                <w:szCs w:val="24"/>
              </w:rPr>
              <w:br/>
            </w:r>
            <w:r w:rsidRPr="00BF673E">
              <w:rPr>
                <w:szCs w:val="24"/>
              </w:rPr>
              <w:t>Jednatelství programu v Praze poskytuje osobní i telefonické konzultace připravovaných návrhů projektů.</w:t>
            </w:r>
          </w:p>
        </w:tc>
      </w:tr>
      <w:tr w:rsidR="00BF673E" w:rsidRPr="00BF673E" w:rsidTr="00BF673E">
        <w:trPr>
          <w:tblCellSpacing w:w="75" w:type="dxa"/>
        </w:trPr>
        <w:tc>
          <w:tcPr>
            <w:tcW w:w="700" w:type="pct"/>
            <w:hideMark/>
          </w:tcPr>
          <w:p w:rsidR="00BF673E" w:rsidRPr="00BF673E" w:rsidRDefault="00BF673E" w:rsidP="00BF673E">
            <w:pPr>
              <w:spacing w:before="100" w:beforeAutospacing="1" w:after="100" w:afterAutospacing="1"/>
              <w:rPr>
                <w:szCs w:val="24"/>
              </w:rPr>
            </w:pPr>
            <w:r w:rsidRPr="00BF673E">
              <w:rPr>
                <w:b/>
                <w:bCs/>
                <w:szCs w:val="24"/>
              </w:rPr>
              <w:lastRenderedPageBreak/>
              <w:t xml:space="preserve">Poznámka: </w:t>
            </w:r>
          </w:p>
        </w:tc>
        <w:tc>
          <w:tcPr>
            <w:tcW w:w="4300" w:type="pct"/>
            <w:vAlign w:val="center"/>
            <w:hideMark/>
          </w:tcPr>
          <w:p w:rsidR="00BF673E" w:rsidRPr="00BF673E" w:rsidRDefault="00BF673E" w:rsidP="00BF673E">
            <w:pPr>
              <w:spacing w:before="100" w:beforeAutospacing="1" w:after="100" w:afterAutospacing="1"/>
              <w:rPr>
                <w:szCs w:val="24"/>
              </w:rPr>
            </w:pPr>
            <w:r w:rsidRPr="00BF673E">
              <w:rPr>
                <w:szCs w:val="24"/>
              </w:rPr>
              <w:t>Jednatelství programu AKTION ani rakouská partnerská kancelář nemohou být nápomocni při organizačním zabezpečení exkurze (např. zajištění ubytování apod.).</w:t>
            </w:r>
          </w:p>
        </w:tc>
      </w:tr>
    </w:tbl>
    <w:p w:rsidR="00486151" w:rsidRDefault="00D43C2E"/>
    <w:sectPr w:rsidR="004861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73E"/>
    <w:rsid w:val="001868D1"/>
    <w:rsid w:val="00212D15"/>
    <w:rsid w:val="00415009"/>
    <w:rsid w:val="0042221F"/>
    <w:rsid w:val="004A74D1"/>
    <w:rsid w:val="00BF673E"/>
    <w:rsid w:val="00D43C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C4A59"/>
  <w15:chartTrackingRefBased/>
  <w15:docId w15:val="{C5F2C57A-7344-432A-9774-00883798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2221F"/>
    <w:rPr>
      <w:sz w:val="24"/>
      <w:lang w:eastAsia="cs-CZ"/>
    </w:rPr>
  </w:style>
  <w:style w:type="paragraph" w:styleId="Nadpis1">
    <w:name w:val="heading 1"/>
    <w:basedOn w:val="Normln"/>
    <w:next w:val="Normln"/>
    <w:link w:val="Nadpis1Char"/>
    <w:qFormat/>
    <w:rsid w:val="0042221F"/>
    <w:pPr>
      <w:keepNext/>
      <w:outlineLvl w:val="0"/>
    </w:pPr>
    <w:rPr>
      <w:rFonts w:ascii="Arial" w:hAnsi="Arial"/>
      <w:b/>
      <w:sz w:val="22"/>
      <w:lang w:eastAsia="de-DE"/>
    </w:rPr>
  </w:style>
  <w:style w:type="paragraph" w:styleId="Nadpis2">
    <w:name w:val="heading 2"/>
    <w:basedOn w:val="Normln"/>
    <w:next w:val="Normln"/>
    <w:link w:val="Nadpis2Char"/>
    <w:uiPriority w:val="9"/>
    <w:qFormat/>
    <w:rsid w:val="0042221F"/>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2221F"/>
    <w:rPr>
      <w:rFonts w:ascii="Arial" w:hAnsi="Arial"/>
      <w:b/>
      <w:sz w:val="22"/>
      <w:lang w:eastAsia="de-DE"/>
    </w:rPr>
  </w:style>
  <w:style w:type="character" w:customStyle="1" w:styleId="Nadpis2Char">
    <w:name w:val="Nadpis 2 Char"/>
    <w:basedOn w:val="Standardnpsmoodstavce"/>
    <w:link w:val="Nadpis2"/>
    <w:uiPriority w:val="9"/>
    <w:rsid w:val="0042221F"/>
    <w:rPr>
      <w:rFonts w:ascii="Arial" w:hAnsi="Arial" w:cs="Arial"/>
      <w:b/>
      <w:bCs/>
      <w:i/>
      <w:iCs/>
      <w:sz w:val="28"/>
      <w:szCs w:val="28"/>
      <w:lang w:eastAsia="cs-CZ"/>
    </w:rPr>
  </w:style>
  <w:style w:type="character" w:styleId="Siln">
    <w:name w:val="Strong"/>
    <w:uiPriority w:val="22"/>
    <w:qFormat/>
    <w:rsid w:val="0042221F"/>
    <w:rPr>
      <w:b/>
      <w:bCs/>
    </w:rPr>
  </w:style>
  <w:style w:type="paragraph" w:styleId="Odstavecseseznamem">
    <w:name w:val="List Paragraph"/>
    <w:basedOn w:val="Normln"/>
    <w:uiPriority w:val="34"/>
    <w:qFormat/>
    <w:rsid w:val="0042221F"/>
    <w:pPr>
      <w:spacing w:line="276" w:lineRule="auto"/>
      <w:ind w:left="720"/>
      <w:contextualSpacing/>
    </w:pPr>
    <w:rPr>
      <w:rFonts w:ascii="Calibri" w:eastAsia="Calibri" w:hAnsi="Calibri"/>
      <w:sz w:val="22"/>
      <w:szCs w:val="22"/>
      <w:lang w:eastAsia="en-US"/>
    </w:rPr>
  </w:style>
  <w:style w:type="paragraph" w:styleId="Normlnweb">
    <w:name w:val="Normal (Web)"/>
    <w:basedOn w:val="Normln"/>
    <w:uiPriority w:val="99"/>
    <w:semiHidden/>
    <w:unhideWhenUsed/>
    <w:rsid w:val="00BF673E"/>
    <w:pPr>
      <w:spacing w:before="100" w:beforeAutospacing="1" w:after="100" w:afterAutospacing="1"/>
    </w:pPr>
    <w:rPr>
      <w:szCs w:val="24"/>
    </w:rPr>
  </w:style>
  <w:style w:type="character" w:styleId="Zdraznn">
    <w:name w:val="Emphasis"/>
    <w:basedOn w:val="Standardnpsmoodstavce"/>
    <w:uiPriority w:val="20"/>
    <w:qFormat/>
    <w:rsid w:val="00BF67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390108">
      <w:bodyDiv w:val="1"/>
      <w:marLeft w:val="0"/>
      <w:marRight w:val="0"/>
      <w:marTop w:val="0"/>
      <w:marBottom w:val="0"/>
      <w:divBdr>
        <w:top w:val="none" w:sz="0" w:space="0" w:color="auto"/>
        <w:left w:val="none" w:sz="0" w:space="0" w:color="auto"/>
        <w:bottom w:val="none" w:sz="0" w:space="0" w:color="auto"/>
        <w:right w:val="none" w:sz="0" w:space="0" w:color="auto"/>
      </w:divBdr>
      <w:divsChild>
        <w:div w:id="554320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zs.cz/cz/aktion-ceska-republika-rakousko/pokyny-pro-projekty-5/" TargetMode="External"/><Relationship Id="rId4" Type="http://schemas.openxmlformats.org/officeDocument/2006/relationships/hyperlink" Target="http://www.dzs.cz/file/3596/aktion-formular-navrh-projektu-projektantrag-2016-17-doc"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2041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Hanžlová</dc:creator>
  <cp:keywords/>
  <dc:description/>
  <cp:lastModifiedBy>Hanžlová Helena</cp:lastModifiedBy>
  <cp:revision>3</cp:revision>
  <dcterms:created xsi:type="dcterms:W3CDTF">2020-09-09T07:48:00Z</dcterms:created>
  <dcterms:modified xsi:type="dcterms:W3CDTF">2020-09-09T13:48:00Z</dcterms:modified>
</cp:coreProperties>
</file>